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B2545"/>
          <w:sz w:val="32"/>
        </w:rPr>
        <w:t>FICHA TÉCNICA Y OPERATIVA: SUSCRIPCIÓN STATER PRO RETAIL</w:t>
      </w:r>
    </w:p>
    <w:p>
      <w:pPr>
        <w:spacing w:before="0" w:after="160"/>
      </w:pPr>
      <w:r>
        <w:rPr>
          <w:rFonts w:ascii="Segoe UI" w:hAnsi="Segoe UI"/>
          <w:b/>
          <w:color w:val="134074"/>
          <w:sz w:val="19"/>
        </w:rPr>
        <w:t>CATEGORÍA: PRO · CÓDIGO PRODUCTO: PROD-05 · ECOSISTEMA STATER / ARGOS / LUMINIC</w:t>
      </w:r>
    </w:p>
    <w:p>
      <w:pPr>
        <w:keepNext/>
        <w:spacing w:before="280" w:after="100"/>
      </w:pPr>
      <w:r>
        <w:rPr>
          <w:rFonts w:ascii="Segoe UI" w:hAnsi="Segoe UI"/>
          <w:b/>
          <w:color w:val="0B2545"/>
          <w:sz w:val="26"/>
        </w:rPr>
        <w:t>1. Especificaciones Comerciales y Operativas del Producto</w:t>
      </w:r>
    </w:p>
    <w:p>
      <w:pPr>
        <w:pStyle w:val="ListBullet"/>
        <w:spacing w:after="60" w:before="0" w:line="276" w:lineRule="auto"/>
        <w:ind w:left="360"/>
      </w:pPr>
      <w:r>
        <w:rPr>
          <w:rFonts w:ascii="Segoe UI" w:hAnsi="Segoe UI"/>
          <w:b/>
          <w:color w:val="1F2937"/>
          <w:sz w:val="19"/>
        </w:rPr>
        <w:t>• Definición y Alcance:</w:t>
      </w:r>
      <w:r>
        <w:rPr>
          <w:rFonts w:ascii="Segoe UI" w:hAnsi="Segoe UI"/>
          <w:color w:val="1F2937"/>
          <w:sz w:val="19"/>
        </w:rPr>
        <w:t>Capa avanzada de automatización, potencia analítica y acceso a series históricas profundas para inversores cuantitativos individuales y analistas freelance.</w:t>
      </w:r>
    </w:p>
    <w:p>
      <w:pPr>
        <w:pStyle w:val="ListBullet"/>
        <w:spacing w:after="60" w:before="0" w:line="276" w:lineRule="auto"/>
        <w:ind w:left="360"/>
      </w:pPr>
      <w:r>
        <w:rPr>
          <w:rFonts w:ascii="Segoe UI" w:hAnsi="Segoe UI"/>
          <w:b/>
          <w:color w:val="1F2937"/>
          <w:sz w:val="19"/>
        </w:rPr>
        <w:t>• Qué Ofrece Exactamente:</w:t>
      </w:r>
      <w:r>
        <w:rPr>
          <w:rFonts w:ascii="Segoe UI" w:hAnsi="Segoe UI"/>
          <w:color w:val="1F2937"/>
          <w:sz w:val="19"/>
        </w:rPr>
        <w:t>Descargas masivas ilimitadas en formato CSV y Parquet de hasta 10 años de histórico contable, clave de API personal con límites ampliados para consultas en Python/Excel, filtros complejos sobre texto de KAMs/CSRD y cola prioritaria en servidores cloud.</w:t>
      </w:r>
    </w:p>
    <w:p>
      <w:pPr>
        <w:pStyle w:val="ListBullet"/>
        <w:spacing w:after="60" w:before="0" w:line="276" w:lineRule="auto"/>
        <w:ind w:left="360"/>
      </w:pPr>
      <w:r>
        <w:t>• Modelo de Precio / Tarifa:12 € al mes (o 120 € al año con descuento anual por pago anticipado).</w:t>
      </w:r>
    </w:p>
    <w:p>
      <w:pPr>
        <w:pStyle w:val="ListBullet"/>
        <w:spacing w:after="60" w:before="0" w:line="276" w:lineRule="auto"/>
        <w:ind w:left="360"/>
      </w:pPr>
      <w:r>
        <w:rPr>
          <w:rFonts w:ascii="Segoe UI" w:hAnsi="Segoe UI"/>
          <w:b/>
          <w:color w:val="1F2937"/>
          <w:sz w:val="19"/>
        </w:rPr>
        <w:t>• Público Objetivo:</w:t>
      </w:r>
      <w:r>
        <w:rPr>
          <w:rFonts w:ascii="Segoe UI" w:hAnsi="Segoe UI"/>
          <w:color w:val="1F2937"/>
          <w:sz w:val="19"/>
        </w:rPr>
        <w:t>Inversores particulares avanzados, programadores quant independientes, consultores financieros autónomos y estudiantes de posgrado.</w:t>
      </w:r>
    </w:p>
    <w:p>
      <w:pPr>
        <w:pStyle w:val="ListBullet"/>
        <w:spacing w:after="60" w:before="0" w:line="276" w:lineRule="auto"/>
        <w:ind w:left="360"/>
      </w:pPr>
      <w:r>
        <w:rPr>
          <w:rFonts w:ascii="Segoe UI" w:hAnsi="Segoe UI"/>
          <w:b/>
          <w:color w:val="1F2937"/>
          <w:sz w:val="19"/>
        </w:rPr>
        <w:t>• Proceso Técnico de Producción:</w:t>
      </w:r>
      <w:r>
        <w:rPr>
          <w:rFonts w:ascii="Segoe UI" w:hAnsi="Segoe UI"/>
          <w:color w:val="1F2937"/>
          <w:sz w:val="19"/>
        </w:rPr>
        <w:t>Servicio SaaS desplegado sobre cluster de alta disponibilidad con balanceo de carga, endpoints REST documentados en OpenAPI y autenticación segura mediante Bearer Tokens.</w:t>
      </w:r>
    </w:p>
    <w:p>
      <w:pPr>
        <w:pStyle w:val="ListBullet"/>
        <w:spacing w:after="60" w:before="0" w:line="276" w:lineRule="auto"/>
        <w:ind w:left="360"/>
      </w:pPr>
      <w:r>
        <w:rPr>
          <w:rFonts w:ascii="Segoe UI" w:hAnsi="Segoe UI"/>
          <w:b/>
          <w:color w:val="1F2937"/>
          <w:sz w:val="19"/>
        </w:rPr>
        <w:t>• Características Diferenciales:</w:t>
      </w:r>
      <w:r>
        <w:rPr>
          <w:rFonts w:ascii="Segoe UI" w:hAnsi="Segoe UI"/>
          <w:color w:val="1F2937"/>
          <w:sz w:val="19"/>
        </w:rPr>
        <w:t>Límites de 50.000 llamadas API/mes, descarga directa de balances completos en un solo archivo Parquet vectorizado, alertas personalizadas por email sobre cambios en auditorías y acceso al canal Pro de soporte.</w:t>
      </w:r>
    </w:p>
    <w:p>
      <w:pPr>
        <w:pStyle w:val="ListBullet"/>
        <w:spacing w:after="60" w:before="0" w:line="276" w:lineRule="auto"/>
        <w:ind w:left="360"/>
      </w:pPr>
      <w:r>
        <w:rPr>
          <w:rFonts w:ascii="Segoe UI" w:hAnsi="Segoe UI"/>
          <w:b/>
          <w:color w:val="1F2937"/>
          <w:sz w:val="19"/>
        </w:rPr>
        <w:t>• Ventaja Competitiva vs. Mercado:</w:t>
      </w:r>
      <w:r>
        <w:rPr>
          <w:rFonts w:ascii="Segoe UI" w:hAnsi="Segoe UI"/>
          <w:color w:val="1F2937"/>
          <w:sz w:val="19"/>
        </w:rPr>
        <w:t>Ofrece prestaciones que en terminales tradicionales cuestan más de 1.500 €/mes por una tarifa mensual accesible equivalente al precio de dos menús del día.</w:t>
      </w:r>
    </w:p>
    <w:p>
      <w:r>
        <w:br w:type="page"/>
      </w:r>
    </w:p>
    <w:p>
      <w:pPr>
        <w:keepNext/>
        <w:spacing w:before="280" w:after="100"/>
      </w:pPr>
      <w:r>
        <w:rPr>
          <w:rFonts w:ascii="Segoe UI" w:hAnsi="Segoe UI"/>
          <w:b/>
          <w:color w:val="0B2545"/>
          <w:sz w:val="26"/>
        </w:rPr>
        <w:t>2. Compendio Retórico y Visión Humanista del Producto</w:t>
      </w:r>
    </w:p>
    <w:tbl>
      <w:tblPr>
        <w:tblW w:type="auto" w:w="0"/>
        <w:jc w:val="center"/>
        <w:tblLayout w:type="fixed"/>
        <w:tblLook w:firstColumn="1" w:firstRow="1" w:lastColumn="0" w:lastRow="0" w:noHBand="0" w:noVBand="1" w:val="04A0"/>
      </w:tblPr>
      <w:tblGrid>
        <w:gridCol w:w="9461"/>
      </w:tblGrid>
      <w:tr>
        <w:tc>
          <w:tcPr>
            <w:tcW w:type="dxa" w:w="9461"/>
            <w:shd w:fill="F0F4F8"/>
            <w:tcMar>
              <w:top w:w="100" w:type="dxa"/>
              <w:bottom w:w="100" w:type="dxa"/>
              <w:left w:w="160" w:type="dxa"/>
              <w:right w:w="140" w:type="dxa"/>
            </w:tcMar>
            <w:tcBorders>
              <w:top w:val="none" w:sz="24" w:space="0" w:color="134074"/>
              <w:left w:val="single" w:sz="24" w:space="0" w:color="134074"/>
              <w:bottom w:val="none" w:sz="24" w:space="0" w:color="134074"/>
              <w:right w:val="none" w:sz="24" w:space="0" w:color="134074"/>
            </w:tcBorders>
          </w:tcPr>
          <w:p>
            <w:pPr>
              <w:spacing w:after="0" w:before="0" w:line="276" w:lineRule="auto"/>
            </w:pPr>
            <w:r>
              <w:rPr>
                <w:rFonts w:ascii="Segoe UI" w:hAnsi="Segoe UI"/>
                <w:b/>
                <w:color w:val="0B2545"/>
                <w:sz w:val="19"/>
              </w:rPr>
              <w:t>PROPÓSITO SOCIAL Y FILOSOFÍA: SUSCRIPCIÓN STATER PRO RETAIL</w:t>
              <w:br/>
            </w:r>
            <w:r>
              <w:rPr>
                <w:rFonts w:ascii="Segoe UI" w:hAnsi="Segoe UI"/>
                <w:color w:val="1F2937"/>
                <w:sz w:val="18"/>
              </w:rPr>
              <w:t>«La suscripción Pro no es un privilegio de élite; es la herramienta justa para quien ha decidido hacer del rigor analítico su profesión o su pasión personal.»</w:t>
            </w:r>
          </w:p>
        </w:tc>
      </w:tr>
    </w:tbl>
    <w:p>
      <w:pPr>
        <w:spacing w:after="60"/>
      </w:pPr>
    </w:p>
    <w:p>
      <w:pPr>
        <w:keepNext/>
        <w:spacing w:before="200" w:after="60"/>
      </w:pPr>
      <w:r>
        <w:rPr>
          <w:rFonts w:ascii="Segoe UI" w:hAnsi="Segoe UI"/>
          <w:b/>
          <w:color w:val="134074"/>
          <w:sz w:val="21"/>
        </w:rPr>
        <w:t>2.1. El Significado Profundo y la Batalla contra la Asimetría</w:t>
      </w:r>
    </w:p>
    <w:p>
      <w:pPr>
        <w:spacing w:after="60" w:before="0" w:line="276" w:lineRule="auto"/>
      </w:pPr>
      <w:r>
        <w:rPr>
          <w:rFonts w:ascii="Segoe UI" w:hAnsi="Segoe UI"/>
          <w:i w:val="0"/>
          <w:color w:val="1F2937"/>
          <w:sz w:val="19"/>
        </w:rPr>
        <w:t>STATER Pro nace para sostener la infraestructura de toda la comunidad. El 90% de los usuarios disfruta de la plataforma de forma gratuita, y el 10% que decide dar un paso profesional encuentra en Pro una palanca de productividad inigualable. Cada euro invertido en Pro no solo multiplica la velocidad del analista individual, sino que financia los servidores y la investigación que mantienen abiertos los recursos para toda la sociedad.</w:t>
      </w:r>
    </w:p>
    <w:p>
      <w:pPr>
        <w:keepNext/>
        <w:spacing w:before="200" w:after="60"/>
      </w:pPr>
      <w:r>
        <w:rPr>
          <w:rFonts w:ascii="Segoe UI" w:hAnsi="Segoe UI"/>
          <w:b/>
          <w:color w:val="134074"/>
          <w:sz w:val="21"/>
        </w:rPr>
        <w:t>2.2. Impacto Social a Gran Escala y Transformación Patrimonial</w:t>
      </w:r>
    </w:p>
    <w:p>
      <w:pPr>
        <w:spacing w:after="60" w:before="0" w:line="276" w:lineRule="auto"/>
      </w:pPr>
      <w:r>
        <w:rPr>
          <w:rFonts w:ascii="Segoe UI" w:hAnsi="Segoe UI"/>
          <w:i w:val="0"/>
          <w:color w:val="1F2937"/>
          <w:sz w:val="19"/>
        </w:rPr>
        <w:t>Permite el florecimiento de una nueva clase de analistas independientes capaces de competir de tú a tú con los grandes centros de estudios de la banca tradicional. Fomenta el emprendimiento financiero honesto y la descentralización del análisis de inversión.</w:t>
      </w:r>
    </w:p>
    <w:p>
      <w:pPr>
        <w:keepNext/>
        <w:spacing w:before="200" w:after="60"/>
      </w:pPr>
      <w:r>
        <w:rPr>
          <w:rFonts w:ascii="Segoe UI" w:hAnsi="Segoe UI"/>
          <w:b/>
          <w:color w:val="134074"/>
          <w:sz w:val="21"/>
        </w:rPr>
        <w:t>2.3. Enfoque Humano, Ético y Soberanía del Conocimiento</w:t>
      </w:r>
    </w:p>
    <w:p>
      <w:pPr>
        <w:spacing w:after="60" w:before="0" w:line="276" w:lineRule="auto"/>
      </w:pPr>
      <w:r>
        <w:rPr>
          <w:rFonts w:ascii="Segoe UI" w:hAnsi="Segoe UI"/>
          <w:i w:val="0"/>
          <w:color w:val="1F2937"/>
          <w:sz w:val="19"/>
        </w:rPr>
        <w:t>Precio justo, cancelación inmediata en un clic sin preguntas ni permanencias, y garantía de que las funcionalidades básicas de la plataforma jamás serán restringidas.</w:t>
      </w:r>
    </w:p>
    <w:sectPr w:rsidR="00FC693F" w:rsidRPr="0006063C" w:rsidSect="00034616">
      <w:headerReference w:type="default" r:id="rId9"/>
      <w:footerReference w:type="default" r:id="rId10"/>
      <w:pgSz w:w="11909" w:h="16834"/>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78909C"/>
        <w:sz w:val="16"/>
      </w:rPr>
      <w:t>STATER, S.L. · Catálogo Oficial de Productos y Activos · ID: PROD-05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8909C"/>
        <w:sz w:val="16"/>
      </w:rPr>
      <w:t>STATER IT · CATÁLOGO DE PRODUCTOS · [PRO] SUSCRIPCIÓN STATER PRO RETAIL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