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0B2545"/>
          <w:sz w:val="32"/>
        </w:rPr>
        <w:t>FICHA TÉCNICA Y OPERATIVA: INFORMES INTRINSIC VALUE CERTIFICADOS CON HASH SHA-256</w:t>
      </w:r>
    </w:p>
    <w:p>
      <w:pPr>
        <w:spacing w:before="0" w:after="160"/>
      </w:pPr>
      <w:r>
        <w:rPr>
          <w:rFonts w:ascii="Segoe UI" w:hAnsi="Segoe UI"/>
          <w:b/>
          <w:color w:val="134074"/>
          <w:sz w:val="19"/>
        </w:rPr>
        <w:t>CATEGORÍA: ELITE · CÓDIGO PRODUCTO: PROD-08 · ECOSISTEMA STATER / ARGOS / LUMINIC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1. Especificaciones Comerciales y Operativas del Producto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Definición y Alcance:</w:t>
      </w:r>
      <w:r>
        <w:rPr>
          <w:rFonts w:ascii="Segoe UI" w:hAnsi="Segoe UI"/>
          <w:color w:val="1F2937"/>
          <w:sz w:val="19"/>
        </w:rPr>
        <w:t>Dossiers de valoración fundamental profunda, auditoría contable y análisis de sostenibilidad CSRD generados algorítmicamente y sellados criptográficamente.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Qué Ofrece Exactamente:</w:t>
      </w:r>
      <w:r>
        <w:rPr>
          <w:rFonts w:ascii="Segoe UI" w:hAnsi="Segoe UI"/>
          <w:color w:val="1F2937"/>
          <w:sz w:val="19"/>
        </w:rPr>
        <w:t>Informe ejecutivo de 15-20 páginas por empresa cotizada, modelos de descuento de flujos de caja (DCF), análisis DuPont, semáforo de cuestiones clave de auditoría (KAM) y certificado de inalterabilidad SHA-256.</w:t>
      </w:r>
    </w:p>
    <w:p>
      <w:pPr>
        <w:pStyle w:val="ListBullet"/>
        <w:spacing w:after="60" w:before="0" w:line="276" w:lineRule="auto"/>
        <w:ind w:left="360"/>
      </w:pPr>
      <w:r>
        <w:t>• Modelo de Precio / Tarifa:500 € por informe individual o incluido dentro de las licencias anuales de ARGOS Enterprise.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Público Objetivo:</w:t>
      </w:r>
      <w:r>
        <w:rPr>
          <w:rFonts w:ascii="Segoe UI" w:hAnsi="Segoe UI"/>
          <w:color w:val="1F2937"/>
          <w:sz w:val="19"/>
        </w:rPr>
        <w:t>Comités de inversión de gestoras, directores de Family Offices, consultores de M&amp;A y peritos judiciales contables.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Proceso Técnico de Producción:</w:t>
      </w:r>
      <w:r>
        <w:rPr>
          <w:rFonts w:ascii="Segoe UI" w:hAnsi="Segoe UI"/>
          <w:color w:val="1F2937"/>
          <w:sz w:val="19"/>
        </w:rPr>
        <w:t>Motor de renderizado determinista en Python que extrae datapoints oficiales, calcula modelos matemáticos de valoración y genera un documento PDF sellado con firma digital.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Características Diferenciales:</w:t>
      </w:r>
      <w:r>
        <w:rPr>
          <w:rFonts w:ascii="Segoe UI" w:hAnsi="Segoe UI"/>
          <w:color w:val="1F2937"/>
          <w:sz w:val="19"/>
        </w:rPr>
        <w:t>Trazabilidad exacta de cada cifra con su página de origen en la memoria anual oficial; código hash verificable públicamente en la blockchain o servidor de sellado de STATER.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Ventaja Competitiva vs. Mercado:</w:t>
      </w:r>
      <w:r>
        <w:rPr>
          <w:rFonts w:ascii="Segoe UI" w:hAnsi="Segoe UI"/>
          <w:color w:val="1F2937"/>
          <w:sz w:val="19"/>
        </w:rPr>
        <w:t>Elimina el sesgo humano y los conflictos de interés de los informes de analistas tradicionales, ofreciendo una auditoría matemática incorruptible.</w:t>
      </w:r>
    </w:p>
    <w:p>
      <w:r>
        <w:br w:type="page"/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2. Compendio Retórico y Visión Humanista del Producto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0F4F8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top w:val="none" w:sz="24" w:space="0" w:color="134074"/>
              <w:left w:val="single" w:sz="24" w:space="0" w:color="134074"/>
              <w:bottom w:val="none" w:sz="24" w:space="0" w:color="134074"/>
              <w:right w:val="none" w:sz="24" w:space="0" w:color="134074"/>
            </w:tcBorders>
          </w:tcPr>
          <w:p>
            <w:pPr>
              <w:spacing w:after="0" w:before="0" w:line="276" w:lineRule="auto"/>
            </w:pPr>
            <w:r>
              <w:rPr>
                <w:rFonts w:ascii="Segoe UI" w:hAnsi="Segoe UI"/>
                <w:b/>
                <w:color w:val="0B2545"/>
                <w:sz w:val="19"/>
              </w:rPr>
              <w:t>PROPÓSITO SOCIAL Y FILOSOFÍA: INFORMES INTRINSIC VALUE CERTIFICADOS CON HASH SHA-256</w:t>
              <w:br/>
            </w:r>
            <w:r>
              <w:rPr>
                <w:rFonts w:ascii="Segoe UI" w:hAnsi="Segoe UI"/>
                <w:color w:val="1F2937"/>
                <w:sz w:val="18"/>
              </w:rPr>
              <w:t>«La verdad matemática no admite opiniones: un informe sellado criptográficamente es el escudo definitivo contra la especulación y el engaño.»</w:t>
            </w:r>
          </w:p>
        </w:tc>
      </w:tr>
    </w:tbl>
    <w:p>
      <w:pPr>
        <w:spacing w:after="60"/>
      </w:pPr>
    </w:p>
    <w:p>
      <w:pPr>
        <w:keepNext/>
        <w:spacing w:before="200" w:after="60"/>
      </w:pPr>
      <w:r>
        <w:rPr>
          <w:rFonts w:ascii="Segoe UI" w:hAnsi="Segoe UI"/>
          <w:b/>
          <w:color w:val="134074"/>
          <w:sz w:val="21"/>
        </w:rPr>
        <w:t>2.1. El Significado Profundo y la Batalla contra la Asimetría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Los Informes Intrinsic Value representan la unión perfecta entre el análisis financiero clásico y la criptografía moderna. En un mercado inundado de recomendaciones de compra interesadas y análisis superficiales, STATER introduce el estándar de la prueba forense. Cada afirmación del informe está vinculada a un dato auditado por terceros y sellada para que no pueda ser alterada jamás.</w:t>
      </w:r>
    </w:p>
    <w:p>
      <w:pPr>
        <w:keepNext/>
        <w:spacing w:before="200" w:after="60"/>
      </w:pPr>
      <w:r>
        <w:rPr>
          <w:rFonts w:ascii="Segoe UI" w:hAnsi="Segoe UI"/>
          <w:b/>
          <w:color w:val="134074"/>
          <w:sz w:val="21"/>
        </w:rPr>
        <w:t>2.2. Impacto Social a Gran Escala y Transformación Patrimonial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Restaura la confianza en el análisis de empresas, proporcionando a los decisores de capital una base sólida e indiscutible sobre la que fundamentar sus inversiones, protegiendo los fondos de pensiones y patrimonios familiares.</w:t>
      </w:r>
    </w:p>
    <w:p>
      <w:pPr>
        <w:keepNext/>
        <w:spacing w:before="200" w:after="60"/>
      </w:pPr>
      <w:r>
        <w:rPr>
          <w:rFonts w:ascii="Segoe UI" w:hAnsi="Segoe UI"/>
          <w:b/>
          <w:color w:val="134074"/>
          <w:sz w:val="21"/>
        </w:rPr>
        <w:t>2.3. Enfoque Humano, Ético y Soberanía del Conocimiento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Independencia editorial absoluta: STATER no recibe remuneración de las empresas analizadas para emitir opiniones favorables; el algoritmo aplica el mismo rigor implacable a todas las compañías.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78909C"/>
        <w:sz w:val="16"/>
      </w:rPr>
      <w:t>STATER, S.L. · Catálogo Oficial de Productos y Activos · ID: PROD-08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78909C"/>
        <w:sz w:val="16"/>
      </w:rPr>
      <w:t>STATER IT · CATÁLOGO DE PRODUCTOS · [ELITE] INFORMES INTRINSIC VALUE CERTIFICADOS CON HASH SHA-256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