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FICHA TÉCNICA Y OPERATIVA: ARGOS PORTAL EMISOR / RELACIÓN CON INVERSORES (IR)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CATEGORÍA: A LA CARTA · CÓDIGO PRODUCTO: PROD-09 · ECOSISTEMA STATER / ARGOS / LUMINIC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Especificaciones Comerciales y Operativas del Producto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Definición y Alcance:</w:t>
      </w:r>
      <w:r>
        <w:rPr>
          <w:rFonts w:ascii="Segoe UI" w:hAnsi="Segoe UI"/>
          <w:color w:val="1F2937"/>
          <w:sz w:val="19"/>
        </w:rPr>
        <w:t>Suite de software corporativo en la nube diseñada para departamentos de Relación con Inversores de pequeñas y medianas empresas cotizadas.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Qué Ofrece Exactamente:</w:t>
      </w:r>
      <w:r>
        <w:rPr>
          <w:rFonts w:ascii="Segoe UI" w:hAnsi="Segoe UI"/>
          <w:color w:val="1F2937"/>
          <w:sz w:val="19"/>
        </w:rPr>
        <w:t>Paneles de benchmarking sectorial europeo, salas privadas de inversores por invitación (*Data Rooms*), métricas de seguimiento de analistas y módulo de cumplimiento CSRD.</w:t>
      </w:r>
    </w:p>
    <w:p>
      <w:pPr>
        <w:pStyle w:val="ListBullet"/>
        <w:spacing w:after="60" w:before="0" w:line="276" w:lineRule="auto"/>
        <w:ind w:left="360"/>
      </w:pPr>
      <w:r>
        <w:t>• Modelo de Precio / Tarifa:400 € anuales por empresa emisora.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Público Objetivo:</w:t>
      </w:r>
      <w:r>
        <w:rPr>
          <w:rFonts w:ascii="Segoe UI" w:hAnsi="Segoe UI"/>
          <w:color w:val="1F2937"/>
          <w:sz w:val="19"/>
        </w:rPr>
        <w:t>Pymes cotizadas en mercados de crecimiento (BME Growth, Euronext Growth, Scaleup, Aim Italia) y directores financieros (CFOs).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Proceso Técnico de Producción:</w:t>
      </w:r>
      <w:r>
        <w:rPr>
          <w:rFonts w:ascii="Segoe UI" w:hAnsi="Segoe UI"/>
          <w:color w:val="1F2937"/>
          <w:sz w:val="19"/>
        </w:rPr>
        <w:t>Portal web seguro con autenticación multifactor, cifrado de documentos extremo a extremo y módulos de analítica comparativa en tiempo real.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Características Diferenciales:</w:t>
      </w:r>
      <w:r>
        <w:rPr>
          <w:rFonts w:ascii="Segoe UI" w:hAnsi="Segoe UI"/>
          <w:color w:val="1F2937"/>
          <w:sz w:val="19"/>
        </w:rPr>
        <w:t>Generación de enlaces seguros para compartir presentaciones con fondos institucionales; panel de monitorización de interés de mercado y cortafuegos de independencia editorial.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Ventaja Competitiva vs. Mercado:</w:t>
      </w:r>
      <w:r>
        <w:rPr>
          <w:rFonts w:ascii="Segoe UI" w:hAnsi="Segoe UI"/>
          <w:color w:val="1F2937"/>
          <w:sz w:val="19"/>
        </w:rPr>
        <w:t>Ofrece a las pymes la misma visibilidad y herramientas analíticas que a las multinacionales del IBEX 35 a un coste accesible para una empresa mediana.</w:t>
      </w:r>
    </w:p>
    <w:p>
      <w:r>
        <w:br w:type="page"/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Compendio Retórico y Visión Humanista del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PROPÓSITO SOCIAL Y FILOSOFÍA: ARGOS PORTAL EMISOR / RELACIÓN CON INVERSORES (IR)</w:t>
              <w:br/>
            </w:r>
            <w:r>
              <w:rPr>
                <w:rFonts w:ascii="Segoe UI" w:hAnsi="Segoe UI"/>
                <w:color w:val="1F2937"/>
                <w:sz w:val="18"/>
              </w:rPr>
              <w:t>«Las pymes cotizadas son el corazón de la economía real: darles visibilidad ante el capital institucional es dinamizar el empleo y la innovación.»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2.1. El Significado Profundo y la Batalla contra la Asimetría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Las pequeñas y medianas cotizadas sufren una invisibilidad estructural: los grandes bancos no las cubren y los terminales tradicionales las ignoran. El Portal Emisor de ARGOS nace para romper este aislamiento. Proporciona a las empresas medianas una ventana directa a los gestores de fondos de toda Europa, permitiéndoles defender sus tesis de inversión sobre la base de sus méritos operativos reales.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2.2. Impacto Social a Gran Escala y Transformación Patrimonial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Facilita la atracción de capital productivo hacia empresas generadoras de empleo real en las distintas regiones europeas, descentralizando la economía y evitando la concentración exclusiva en grandes conglomerados.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2.3. Enfoque Humano, Ético y Soberanía del Conocimiento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Cortafuegos estricto: la empresa emisora paga por el software de analítica y visibilidad, pero jamás puede pagar por modificar sus ratios ni influir en los algoritmos de STATER.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Catálogo Oficial de Productos y Activos · ID: PROD-09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CATÁLOGO DE PRODUCTOS · [A LA CARTA] ARGOS PORTAL EMISOR / RELACIÓN CON INVERSORES (IR)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