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B2545"/>
          <w:sz w:val="32"/>
        </w:rPr>
        <w:t>FICHA TÉCNICA Y OPERATIVA: CURSO C3: ANÁLISIS FUNDAMENTAL AVANZADO Y MODELOS DE VALORACIÓN</w:t>
      </w:r>
    </w:p>
    <w:p>
      <w:pPr>
        <w:spacing w:before="0" w:after="160"/>
      </w:pPr>
      <w:r>
        <w:rPr>
          <w:rFonts w:ascii="Segoe UI" w:hAnsi="Segoe UI"/>
          <w:b/>
          <w:color w:val="134074"/>
          <w:sz w:val="19"/>
        </w:rPr>
        <w:t>CATEGORÍA: A LA CARTA · CÓDIGO PRODUCTO: PROD-10 · ECOSISTEMA STATER / ARGOS / LUMINIC</w:t>
      </w:r>
    </w:p>
    <w:p>
      <w:pPr>
        <w:keepNext/>
        <w:spacing w:before="280" w:after="100"/>
      </w:pPr>
      <w:r>
        <w:rPr>
          <w:rFonts w:ascii="Segoe UI" w:hAnsi="Segoe UI"/>
          <w:b/>
          <w:color w:val="0B2545"/>
          <w:sz w:val="26"/>
        </w:rPr>
        <w:t>1. Especificaciones Comerciales y Operativas del Producto</w:t>
      </w:r>
    </w:p>
    <w:p>
      <w:pPr>
        <w:pStyle w:val="ListBullet"/>
        <w:spacing w:after="60" w:before="0" w:line="276" w:lineRule="auto"/>
        <w:ind w:left="360"/>
      </w:pPr>
      <w:r>
        <w:rPr>
          <w:rFonts w:ascii="Segoe UI" w:hAnsi="Segoe UI"/>
          <w:b/>
          <w:color w:val="1F2937"/>
          <w:sz w:val="19"/>
        </w:rPr>
        <w:t>• Definición y Alcance:</w:t>
      </w:r>
      <w:r>
        <w:rPr>
          <w:rFonts w:ascii="Segoe UI" w:hAnsi="Segoe UI"/>
          <w:color w:val="1F2937"/>
          <w:sz w:val="19"/>
        </w:rPr>
        <w:t>Programa de especialización intensivo en software de escritorio enfocado en el dominio de modelos de descuento de flujos (DCF), múltiplos comparables y auditoría forense de balances.</w:t>
      </w:r>
    </w:p>
    <w:p>
      <w:pPr>
        <w:pStyle w:val="ListBullet"/>
        <w:spacing w:after="60" w:before="0" w:line="276" w:lineRule="auto"/>
        <w:ind w:left="360"/>
      </w:pPr>
      <w:r>
        <w:rPr>
          <w:rFonts w:ascii="Segoe UI" w:hAnsi="Segoe UI"/>
          <w:b/>
          <w:color w:val="1F2937"/>
          <w:sz w:val="19"/>
        </w:rPr>
        <w:t>• Qué Ofrece Exactamente:</w:t>
      </w:r>
      <w:r>
        <w:rPr>
          <w:rFonts w:ascii="Segoe UI" w:hAnsi="Segoe UI"/>
          <w:color w:val="1F2937"/>
          <w:sz w:val="19"/>
        </w:rPr>
        <w:t>Acceso por 3 o 6 meses al software interactivo con casos reales de quiebras y éxitos empresariales, plantillas financieras editables y resolución guiada de modelos de valoración.</w:t>
      </w:r>
    </w:p>
    <w:p>
      <w:pPr>
        <w:pStyle w:val="ListBullet"/>
        <w:spacing w:after="60" w:before="0" w:line="276" w:lineRule="auto"/>
        <w:ind w:left="360"/>
      </w:pPr>
      <w:r>
        <w:rPr>
          <w:rFonts w:ascii="Segoe UI" w:hAnsi="Segoe UI"/>
          <w:b/>
          <w:color w:val="1F2937"/>
          <w:sz w:val="19"/>
        </w:rPr>
        <w:t>• Modelo de Precio / Tarifa:</w:t>
      </w:r>
      <w:r>
        <w:rPr>
          <w:rFonts w:ascii="Segoe UI" w:hAnsi="Segoe UI"/>
          <w:color w:val="1F2937"/>
          <w:sz w:val="19"/>
        </w:rPr>
        <w:t>18 € (licencia de 3 meses) o 30 € (licencia de 6 meses con actualizaciones).</w:t>
      </w:r>
    </w:p>
    <w:p>
      <w:pPr>
        <w:pStyle w:val="ListBullet"/>
        <w:spacing w:after="60" w:before="0" w:line="276" w:lineRule="auto"/>
        <w:ind w:left="360"/>
      </w:pPr>
      <w:r>
        <w:rPr>
          <w:rFonts w:ascii="Segoe UI" w:hAnsi="Segoe UI"/>
          <w:b/>
          <w:color w:val="1F2937"/>
          <w:sz w:val="19"/>
        </w:rPr>
        <w:t>• Público Objetivo:</w:t>
      </w:r>
      <w:r>
        <w:rPr>
          <w:rFonts w:ascii="Segoe UI" w:hAnsi="Segoe UI"/>
          <w:color w:val="1F2937"/>
          <w:sz w:val="19"/>
        </w:rPr>
        <w:t>Inversores particulares que quieren profesionalizar su análisis, analistas junior, opositores y estudiantes universitarios avanzados.</w:t>
      </w:r>
    </w:p>
    <w:p>
      <w:pPr>
        <w:pStyle w:val="ListBullet"/>
        <w:spacing w:after="60" w:before="0" w:line="276" w:lineRule="auto"/>
        <w:ind w:left="360"/>
      </w:pPr>
      <w:r>
        <w:rPr>
          <w:rFonts w:ascii="Segoe UI" w:hAnsi="Segoe UI"/>
          <w:b/>
          <w:color w:val="1F2937"/>
          <w:sz w:val="19"/>
        </w:rPr>
        <w:t>• Proceso Técnico de Producción:</w:t>
      </w:r>
      <w:r>
        <w:rPr>
          <w:rFonts w:ascii="Segoe UI" w:hAnsi="Segoe UI"/>
          <w:color w:val="1F2937"/>
          <w:sz w:val="19"/>
        </w:rPr>
        <w:t>Casos prácticos extraídos de la base de datos de ARGOS con balances reales de cotizadas europeas y norteamericanas, empaquetados en un software ejecutable autónomo.</w:t>
      </w:r>
    </w:p>
    <w:p>
      <w:pPr>
        <w:pStyle w:val="ListBullet"/>
        <w:spacing w:after="60" w:before="0" w:line="276" w:lineRule="auto"/>
        <w:ind w:left="360"/>
      </w:pPr>
      <w:r>
        <w:rPr>
          <w:rFonts w:ascii="Segoe UI" w:hAnsi="Segoe UI"/>
          <w:b/>
          <w:color w:val="1F2937"/>
          <w:sz w:val="19"/>
        </w:rPr>
        <w:t>• Características Diferenciales:</w:t>
      </w:r>
      <w:r>
        <w:rPr>
          <w:rFonts w:ascii="Segoe UI" w:hAnsi="Segoe UI"/>
          <w:color w:val="1F2937"/>
          <w:sz w:val="19"/>
        </w:rPr>
        <w:t>Simuladores interactivos de sensibilidad de tipos de interés y WACC, detección de trucos contables (*creative accounting*) y análisis de calidad del beneficio (*Quality of Earnings*).</w:t>
      </w:r>
    </w:p>
    <w:p>
      <w:pPr>
        <w:pStyle w:val="ListBullet"/>
        <w:spacing w:after="60" w:before="0" w:line="276" w:lineRule="auto"/>
        <w:ind w:left="360"/>
      </w:pPr>
      <w:r>
        <w:rPr>
          <w:rFonts w:ascii="Segoe UI" w:hAnsi="Segoe UI"/>
          <w:b/>
          <w:color w:val="1F2937"/>
          <w:sz w:val="19"/>
        </w:rPr>
        <w:t>• Ventaja Competitiva vs. Mercado:</w:t>
      </w:r>
      <w:r>
        <w:rPr>
          <w:rFonts w:ascii="Segoe UI" w:hAnsi="Segoe UI"/>
          <w:color w:val="1F2937"/>
          <w:sz w:val="19"/>
        </w:rPr>
        <w:t>Frente a cursos teóricos de miles de euros que usan diapositivas abstractas, C3 ofrece un software interactivo con datos reales por el precio simbólico de una cena.</w:t>
      </w:r>
    </w:p>
    <w:p>
      <w:r>
        <w:br w:type="page"/>
      </w:r>
    </w:p>
    <w:p>
      <w:pPr>
        <w:keepNext/>
        <w:spacing w:before="280" w:after="100"/>
      </w:pPr>
      <w:r>
        <w:rPr>
          <w:rFonts w:ascii="Segoe UI" w:hAnsi="Segoe UI"/>
          <w:b/>
          <w:color w:val="0B2545"/>
          <w:sz w:val="26"/>
        </w:rPr>
        <w:t>2. Compendio Retórico y Visión Humanista del Producto</w:t>
      </w:r>
    </w:p>
    <w:tbl>
      <w:tblPr>
        <w:tblW w:type="auto" w:w="0"/>
        <w:jc w:val="center"/>
        <w:tblLayout w:type="fixed"/>
        <w:tblLook w:firstColumn="1" w:firstRow="1" w:lastColumn="0" w:lastRow="0" w:noHBand="0" w:noVBand="1" w:val="04A0"/>
      </w:tblPr>
      <w:tblGrid>
        <w:gridCol w:w="9461"/>
      </w:tblGrid>
      <w:tr>
        <w:tc>
          <w:tcPr>
            <w:tcW w:type="dxa" w:w="9461"/>
            <w:shd w:fill="F0F4F8"/>
            <w:tcMar>
              <w:top w:w="100" w:type="dxa"/>
              <w:bottom w:w="100" w:type="dxa"/>
              <w:left w:w="160" w:type="dxa"/>
              <w:right w:w="14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PROPÓSITO SOCIAL Y FILOSOFÍA: CURSO C3: ANÁLISIS FUNDAMENTAL AVANZADO Y MODELOS DE VALORACIÓN</w:t>
              <w:br/>
            </w:r>
            <w:r>
              <w:rPr>
                <w:rFonts w:ascii="Segoe UI" w:hAnsi="Segoe UI"/>
                <w:color w:val="1F2937"/>
                <w:sz w:val="18"/>
              </w:rPr>
              <w:t>«La verdadera valoración no es adivinar el futuro; es entender con precisión milimétrica la capacidad de un negocio para generar caja libre.»</w:t>
            </w:r>
          </w:p>
        </w:tc>
      </w:tr>
    </w:tbl>
    <w:p>
      <w:pPr>
        <w:spacing w:after="60"/>
      </w:pPr>
    </w:p>
    <w:p>
      <w:pPr>
        <w:keepNext/>
        <w:spacing w:before="200" w:after="60"/>
      </w:pPr>
      <w:r>
        <w:rPr>
          <w:rFonts w:ascii="Segoe UI" w:hAnsi="Segoe UI"/>
          <w:b/>
          <w:color w:val="134074"/>
          <w:sz w:val="21"/>
        </w:rPr>
        <w:t>2.1. El Significado Profundo y la Batalla contra la Asimetría</w:t>
      </w:r>
    </w:p>
    <w:p>
      <w:pPr>
        <w:spacing w:after="60" w:before="0" w:line="276" w:lineRule="auto"/>
      </w:pPr>
      <w:r>
        <w:rPr>
          <w:rFonts w:ascii="Segoe UI" w:hAnsi="Segoe UI"/>
          <w:i w:val="0"/>
          <w:color w:val="1F2937"/>
          <w:sz w:val="19"/>
        </w:rPr>
        <w:t>El Curso C3 desmitifica el arte de la valoración empresarial. Enseña al alumno a mirar más allá de los titulares de prensa y los beneficios contables superficiales para auditar la generación real de flujo de caja libre. Es la transición definitiva del inversor aficionado al analista riguroso que comprende los resortes íntimos del capital.</w:t>
      </w:r>
    </w:p>
    <w:p>
      <w:pPr>
        <w:keepNext/>
        <w:spacing w:before="200" w:after="60"/>
      </w:pPr>
      <w:r>
        <w:rPr>
          <w:rFonts w:ascii="Segoe UI" w:hAnsi="Segoe UI"/>
          <w:b/>
          <w:color w:val="134074"/>
          <w:sz w:val="21"/>
        </w:rPr>
        <w:t>2.2. Impacto Social a Gran Escala y Transformación Patrimonial</w:t>
      </w:r>
    </w:p>
    <w:p>
      <w:pPr>
        <w:spacing w:after="60" w:before="0" w:line="276" w:lineRule="auto"/>
      </w:pPr>
      <w:r>
        <w:rPr>
          <w:rFonts w:ascii="Segoe UI" w:hAnsi="Segoe UI"/>
          <w:i w:val="0"/>
          <w:color w:val="1F2937"/>
          <w:sz w:val="19"/>
        </w:rPr>
        <w:t>Capacita a los ciudadanos para evaluar con criterio profesional proyectos empresariales, evitando que el ahorro de las familias caiga en burbujas especulativas o negocios insolventes.</w:t>
      </w:r>
    </w:p>
    <w:p>
      <w:pPr>
        <w:keepNext/>
        <w:spacing w:before="200" w:after="60"/>
      </w:pPr>
      <w:r>
        <w:rPr>
          <w:rFonts w:ascii="Segoe UI" w:hAnsi="Segoe UI"/>
          <w:b/>
          <w:color w:val="134074"/>
          <w:sz w:val="21"/>
        </w:rPr>
        <w:t>2.3. Enfoque Humano, Ético y Soberanía del Conocimiento</w:t>
      </w:r>
    </w:p>
    <w:p>
      <w:pPr>
        <w:spacing w:after="60" w:before="0" w:line="276" w:lineRule="auto"/>
      </w:pPr>
      <w:r>
        <w:rPr>
          <w:rFonts w:ascii="Segoe UI" w:hAnsi="Segoe UI"/>
          <w:i w:val="0"/>
          <w:color w:val="1F2937"/>
          <w:sz w:val="19"/>
        </w:rPr>
        <w:t>Rigor metodológico absoluto, sin promesas de ganancias garantizadas, fomentando la prudencia y el margen de seguridad como principios rectores.</w:t>
      </w:r>
    </w:p>
    <w:sectPr w:rsidR="00FC693F" w:rsidRPr="0006063C" w:rsidSect="00034616">
      <w:headerReference w:type="default" r:id="rId9"/>
      <w:footerReference w:type="default" r:id="rId10"/>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78909C"/>
        <w:sz w:val="16"/>
      </w:rPr>
      <w:t>STATER, S.L. · Catálogo Oficial de Productos y Activos · ID: PROD-10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909C"/>
        <w:sz w:val="16"/>
      </w:rPr>
      <w:t>STATER IT · CATÁLOGO DE PRODUCTOS · [A LA CARTA] CURSO C3: ANÁLISIS FUNDAMENTAL AVANZADO Y MODELOS DE VALORACIÓN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