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AUDITORÍA CONTABLE FORENSE Y MODELADO AD-HOC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A LA CARTA · CÓDIGO PRODUCTO: PROD-13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Servicio especializado de análisis forense contable, detección de anomalías en notas a los estados financieros y construcción de modelos cuantitativos a medida.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Informe pericial contable independiente, análisis detallado de salvedades de auditoría, verificación de activos intangibles y modelos de estrés de solvencia personalizados.</w:t>
      </w:r>
    </w:p>
    <w:p>
      <w:pPr>
        <w:pStyle w:val="ListBullet"/>
        <w:spacing w:after="60" w:before="0" w:line="276" w:lineRule="auto"/>
        <w:ind w:left="360"/>
      </w:pPr>
      <w:r>
        <w:t>• Modelo de Precio / Tarifa:2.500 a 5.000 € por proyecto pericial o encargo corporativo.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Family Offices en procesos de Due Diligence, fondos de Private Equity, comités de auditoría de empresas y despachos jurídicos mercantiles.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Supervisión directa por analistas seniors y docentes de contabilidad de la UMU, combinando procesamiento algorítmico de datos con juicio pericial experto.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Dictámenes basados estrictamente en fuentes primarias auditadas, contraste empírico de riesgos contables ocultos y presentación ejecutiva con soporte técnico.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Independencia inquebrantable frente a las consultoras tradicionales vinculadas a los grandes bancos de inversión.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AUDITORÍA CONTABLE FORENSE Y MODELADO AD-HOC</w:t>
              <w:br/>
            </w:r>
            <w:r>
              <w:rPr>
                <w:rFonts w:ascii="Segoe UI" w:hAnsi="Segoe UI"/>
                <w:color w:val="1F2937"/>
                <w:sz w:val="18"/>
              </w:rPr>
              <w:t>«El análisis forense es la luz que disipa la niebla de la ingeniería contable: donde otros ven beneficios ficticios, nosotros mostramos los hechos reales.»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Cuando hay millones de euros en juego en una transacción o en la preservación de un patrimonio familiar, la complacencia analítica es letal. Este servicio a la carta representa el máximo rigor pericial de STATER. Aplicamos la tecnología más avanzada para diseccionar cada nota al balance y cada párrafo del informe de auditoría, protegiendo al decisor frente a fraudes y maquillajes contables.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Fomenta la disciplina contable en los mercados y defiende la integridad de las inversiones de capital a largo plazo.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Rigor inflexible: no se emiten dictámenes a medida del cliente; se emiten dictámenes basados únicamente en los hechos auditados.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[A LA CARTA] AUDITORÍA CONTABLE FORENSE Y MODELADO AD-HOC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