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STATER_LG · MANUAL MAESTRO DE ARQUITECTURA JURÍDICA Y REGULATORIA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00. ÍNDICE Y ARQUITECTURA LEGAL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Marco Societario, Cumplimiento Regulatorio CNMV/MiFID II, Propiedad Intelectual y Contratación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Misión y Alcance de STATER_LG</w:t>
      </w:r>
    </w:p>
    <w:p>
      <w:pPr>
        <w:spacing w:after="80"/>
      </w:pPr>
      <w:r>
        <w:rPr>
          <w:rFonts w:ascii="Calibri" w:hAnsi="Calibri"/>
          <w:sz w:val="20"/>
        </w:rPr>
        <w:t>STATER_LG constituye el blindaje jurídico, societario, regulatorio y contractual del ecosistema STATER / ARGOS / LUMINIC / INTRINSIC VALUE.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Propósito Central: </w:t>
      </w:r>
      <w:r>
        <w:rPr>
          <w:rFonts w:ascii="Calibri" w:hAnsi="Calibri"/>
          <w:sz w:val="20"/>
        </w:rPr>
        <w:t>Garantizar la plena legalidad societaria (LSC), la no invasión del ámbito reservado a empresas de servicios de inversión ante la CNMV (MiFID II / LMVSI), la protección de los derechos de autor y bases de datos (Directiva 96/9/CE), el cumplimiento estricto de la normativa de abuso de mercado (MAR) y la seguridad contractual B2B/B2C.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2. Estructura de los 7 Bloques de STATER_LG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Bloque / Módulo</w:t>
            </w:r>
          </w:p>
        </w:tc>
        <w:tc>
          <w:tcPr>
            <w:tcW w:type="dxa" w:w="312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Contenido y Finalidad</w:t>
            </w:r>
          </w:p>
        </w:tc>
        <w:tc>
          <w:tcPr>
            <w:tcW w:type="dxa" w:w="312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Marco Normativo Clave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01_PERSONALIDAD_JURIDICA_Y_ESTATUTOS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Estatutos oficiales (22.000€ en 3 bloques), pacto de cotitularidad (Art. 126 LSC), Dirección General y 3 secciones.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Ley de Sociedades de Capital (LSC)</w:t>
            </w:r>
          </w:p>
        </w:tc>
      </w:tr>
      <w:tr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02_MARCO_REGULATORIO_Y_CNMV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Delimitación de no intrusismo ESI/EAF, dossier Innovation Hub CNMV y protocolo MAR/Finfluencers.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LMVSI, MiFID II, Reglamento MAR 596/2014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03_PROPIEDAD_INTELECTUAL_Y_DATOS_BOLSAS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Doctrina de Datos Derivados (Derived Data), licencias OAMs, Open Data (GLEIF, XBRL) y derecho Sui Generis.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Directiva 2019/1024, Directiva 96/9/CE, TRLPI</w:t>
            </w:r>
          </w:p>
        </w:tc>
      </w:tr>
      <w:tr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04_DISCLAIMERS_Y_AVISOS_LEGALES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Avisos legales web, cláusulas Safe Harbor con horquillas de sensibilidad y términos de software.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LSSI-CE, Ley General de Consumidores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05_CONTRATOS_Y_TERMINOS_COMERCIALES_SLA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Contrato marco B2B API con SLA 99.9%, cesión de datasets bulk, términos SaaS PRO y NDA bilateral.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Código Civil, Código de Comercio</w:t>
            </w:r>
          </w:p>
        </w:tc>
      </w:tr>
      <w:tr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06_PROTECCION_DATOS_RGPD_Y_COMPLIANCE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Política de privacidad, base legal de interés legítimo para directivos de cotizadas (IAGC) y RAT.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Reglamento General de Protección de Datos (RGPD)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07_FUENTES_LEGALES_OFICIALES_REPOSITORIO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Repositorio oficial de 18 documentos legales de bolsas europeas y OAMs sellados con SHA-256.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Manifiesto criptográfico inmutable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