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ESTATUTOS SOCIALES OFICIALES DE STATER, S.L.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PERSONALIDAD JURÍDICA · 01. ESTATUTOS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Estatutos de Sociedad de Responsabilidad Limitada con Capital de 22.000 € y 3 Bloques en Cotitularidad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ARTÍCULO 1º. DENOMINACIÓN Y DOMICILIO SOCIAL</w:t>
      </w:r>
    </w:p>
    <w:p>
      <w:pPr>
        <w:spacing w:after="80"/>
      </w:pPr>
      <w:r>
        <w:rPr>
          <w:rFonts w:ascii="Calibri" w:hAnsi="Calibri"/>
          <w:sz w:val="20"/>
        </w:rPr>
        <w:t>La sociedad se denomina 'STATER, S.L.', de nacionalidad española y duración indefinida. El domicilio social se fija en Yecla (Región de Murcia).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ARTÍCULO 2º. OBJETO SOCIAL (CNAE 6201, 6311, 8559)</w:t>
      </w:r>
    </w:p>
    <w:p>
      <w:pPr>
        <w:spacing w:after="80"/>
      </w:pPr>
      <w:r>
        <w:rPr>
          <w:rFonts w:ascii="Calibri" w:hAnsi="Calibri"/>
          <w:sz w:val="20"/>
        </w:rPr>
        <w:t>El objeto social comprende: 1) El desarrollo, diseño y comercialización de software, plataformas tecnológicas y aplicaciones informáticas; 2) El procesamiento de datos, hosting, gestión de bases de datos financieras y servicios de analítica cuantitativa (DaaS/SaaS); 3) La investigación empírica, elaboración de estudios metodológicos financieros y desarrollo de herramientas formativas y docentes.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ARTÍCULO 5º. CAPITAL SOCIAL Y PARTICIPACIONES SOCIALES</w:t>
      </w:r>
    </w:p>
    <w:p>
      <w:pPr>
        <w:spacing w:after="80"/>
      </w:pPr>
      <w:r>
        <w:rPr>
          <w:rFonts w:ascii="Calibri" w:hAnsi="Calibri"/>
          <w:sz w:val="20"/>
        </w:rPr>
        <w:t>El capital social se fija en VEINTIDÓS MIL EUROS (22.000,00 €), íntegramente suscrito y desembolsado, dividido en 22.000 participaciones sociales de 1,00 € de valor nominal cada una, distribuidas en tres bloques accionariales: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Bloque 1 (37,5% = 8.250 €): </w:t>
      </w:r>
      <w:r>
        <w:rPr>
          <w:rFonts w:ascii="Calibri" w:hAnsi="Calibri"/>
          <w:sz w:val="20"/>
        </w:rPr>
        <w:t>Participaciones nº 1 a 8.250, suscritas en régimen de cotitularidad proindiviso por 4 personas.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Bloque 2 (37,5% = 8.250 €): </w:t>
      </w:r>
      <w:r>
        <w:rPr>
          <w:rFonts w:ascii="Calibri" w:hAnsi="Calibri"/>
          <w:sz w:val="20"/>
        </w:rPr>
        <w:t>Participaciones nº 8.251 a 16.500, suscritas en régimen de cotitularidad proindiviso por 10 personas.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Bloque 3 (25,0% = 5.500 €): </w:t>
      </w:r>
      <w:r>
        <w:rPr>
          <w:rFonts w:ascii="Calibri" w:hAnsi="Calibri"/>
          <w:sz w:val="20"/>
        </w:rPr>
        <w:t>Participaciones nº 16.501 a 22.000, suscritas en régimen de cotitularidad proindiviso por 2 personas.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ARTÍCULO 7º. RÉGIMEN DE TRANSMISIÓN Y ADQUISICIÓN PREFERENTE EN DOS NIVELES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Nivel 1 (Preferencia Interna): </w:t>
      </w:r>
      <w:r>
        <w:rPr>
          <w:rFonts w:ascii="Calibri" w:hAnsi="Calibri"/>
          <w:sz w:val="20"/>
        </w:rPr>
        <w:t>Si un cotitular desea transmitir su cuota en el proindiviso, tendrán derecho de adquisición preferente en primer lugar los restantes cotitulares de su propio bloque.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Nivel 2 (Preferencia Externa): </w:t>
      </w:r>
      <w:r>
        <w:rPr>
          <w:rFonts w:ascii="Calibri" w:hAnsi="Calibri"/>
          <w:sz w:val="20"/>
        </w:rPr>
        <w:t>En su defecto, el derecho de adquisición preferente corresponderá a los restantes socios y bloques de la sociedad a prorrata de su participación.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Transmisión a Terceros Extraños: </w:t>
      </w:r>
      <w:r>
        <w:rPr>
          <w:rFonts w:ascii="Calibri" w:hAnsi="Calibri"/>
          <w:sz w:val="20"/>
        </w:rPr>
        <w:t>La venta de participaciones a terceros ajenos a los 16 cotitulares iniciales requerirá obligatoriamente la autorización expresa de la Junta General mediante Mayoría Reforzada (2/3 de los votos sociales).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ARTÍCULO 12º. ÓRGANO DE ADMINISTRACIÓN Y DIRECCIÓN GENERAL</w:t>
      </w:r>
    </w:p>
    <w:p>
      <w:pPr>
        <w:spacing w:after="80"/>
      </w:pPr>
      <w:r>
        <w:rPr>
          <w:rFonts w:ascii="Calibri" w:hAnsi="Calibri"/>
          <w:sz w:val="20"/>
        </w:rPr>
        <w:t>La administración y representación legal de la sociedad se confía a un ADMINISTRADOR ÚNICO por tiempo indefinido, recayendo en la persona designada de entre los cotitulares (el Fundador), quien ostenta la Dirección General ejecutiva y plenos poderes mercantiles y bancarios.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