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PACTO PARASOCIAL Y REGLAMENTO DE COTITULARIDAD (ART. 126 LSC)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PERSONALIDAD JURÍDICA · 02. PACTO DE SOCIOS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Regulación de las 3 Comunidades Proindiviso, Representación Unificada y Adopción de Mayorías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Designación de Representantes Comunes de Bloque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Bloque Accionarial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% Capital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Nº Cotitulares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Representante Común Designado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Votos en Junta General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Bloque 1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37,5%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 Personas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Representante Designado Bloque 1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8.250 Votos (37,5%)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Bloque 2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37,5%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 Personas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Representante Designado Bloque 2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8.250 Votos (37,5%)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Bloque 3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25,0%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 Personas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Representante Designado Bloque 3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5.500 Votos (25,0%)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Mayorías y Adopción de Acuerdos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Mayoría Ordinaria (&gt;50%): </w:t>
      </w:r>
      <w:r>
        <w:rPr>
          <w:rFonts w:ascii="Calibri" w:hAnsi="Calibri"/>
          <w:sz w:val="20"/>
        </w:rPr>
        <w:t>Se alcanza con la unión del Bloque 1 + Bloque 2 (75%) o de cualquier Bloque del 37,5% + Bloque 3 (62,5%).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Mayoría Reforzada (≥66,66%): </w:t>
      </w:r>
      <w:r>
        <w:rPr>
          <w:rFonts w:ascii="Calibri" w:hAnsi="Calibri"/>
          <w:sz w:val="20"/>
        </w:rPr>
        <w:t>Requiere el voto conjunto de Bloque 1 + Bloque 2 (75%) para modificaciones estatutarias, ampliaciones de capital y venta de participaciones a terceros.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