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0F2043"/>
          <w:sz w:val="38"/>
        </w:rPr>
        <w:t>ESTRUCTURA ORGÁNICA, DIRECCIÓN GENERAL Y LAS TRES SECCIONES FUNCIONALES</w:t>
      </w:r>
    </w:p>
    <w:p>
      <w:pPr>
        <w:spacing w:after="280"/>
      </w:pPr>
      <w:r>
        <w:rPr>
          <w:rFonts w:ascii="Calibri" w:hAnsi="Calibri"/>
          <w:b/>
          <w:color w:val="646E7D"/>
          <w:sz w:val="19"/>
        </w:rPr>
        <w:t>CATEGORÍA: 01. PERSONALIDAD JURÍDICA · 03. ORGANIGRAMA  ·  ECOSISTEMA STATER / ARGOS / LUMINIC / INTRINSIC VALUE</w:t>
        <w:br/>
      </w:r>
      <w:r>
        <w:rPr>
          <w:rFonts w:ascii="Calibri" w:hAnsi="Calibri"/>
          <w:i/>
          <w:color w:val="283246"/>
          <w:sz w:val="22"/>
        </w:rPr>
        <w:t>Reglamento Funcional Interno de Delegación de Competencias y Gestión Operativa</w:t>
      </w:r>
    </w:p>
    <w:p>
      <w:pPr>
        <w:spacing w:after="240"/>
      </w:pPr>
      <w:r>
        <w:rPr>
          <w:color w:val="B4BECD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rFonts w:ascii="Calibri" w:hAnsi="Calibri"/>
          <w:b/>
          <w:color w:val="142D5A"/>
          <w:sz w:val="26"/>
        </w:rPr>
        <w:t>1. La Dirección General Ejecutiva</w:t>
      </w:r>
    </w:p>
    <w:p>
      <w:pPr>
        <w:spacing w:after="80"/>
      </w:pPr>
      <w:r>
        <w:rPr>
          <w:rFonts w:ascii="Calibri" w:hAnsi="Calibri"/>
          <w:sz w:val="20"/>
        </w:rPr>
        <w:t>Ostentada por el Administrador Único, centraliza la toma de decisiones estratégicas, la representación judicial y extrajudicial, y la supervisión directa de las tres divisiones operativas de la compañía.</w:t>
      </w:r>
    </w:p>
    <w:p>
      <w:pPr>
        <w:spacing w:before="240" w:after="80"/>
      </w:pPr>
      <w:r>
        <w:rPr>
          <w:rFonts w:ascii="Calibri" w:hAnsi="Calibri"/>
          <w:b/>
          <w:color w:val="142D5A"/>
          <w:sz w:val="26"/>
        </w:rPr>
        <w:t>2. Desglose de las Tres Secciones Operativas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Sección Operativa</w:t>
            </w:r>
          </w:p>
        </w:tc>
        <w:tc>
          <w:tcPr>
            <w:tcW w:type="dxa" w:w="3120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Áreas de Responsabilidad</w:t>
            </w:r>
          </w:p>
        </w:tc>
        <w:tc>
          <w:tcPr>
            <w:tcW w:type="dxa" w:w="3120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Líneas de Negocio y Módulos Asignados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1. SECCIÓN DE VENTAS E INGRESOS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Comercialización B2B, onboarding institucional, pricing, facturación, pasarelas de pago y soporte al cliente.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ARGOS API B2B, STATER PRO Retail, Portal Emisor IR.</w:t>
            </w:r>
          </w:p>
        </w:tc>
      </w:tr>
      <w:tr>
        <w:tc>
          <w:tcPr>
            <w:tcW w:type="dxa" w:w="312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2. SECCIÓN DE INVERSIÓN Y GASTOS</w:t>
            </w:r>
          </w:p>
        </w:tc>
        <w:tc>
          <w:tcPr>
            <w:tcW w:type="dxa" w:w="312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Infraestructura cloud, contratación de APIs de IA/LLM, tesorería, subvenciones (LEADER/INFO), contabilidad y compras.</w:t>
            </w:r>
          </w:p>
        </w:tc>
        <w:tc>
          <w:tcPr>
            <w:tcW w:type="dxa" w:w="312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Data Lake DuckDB/Parquet, Servidores S3, Trade Republic/Santander.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3. SECCIÓN DE GENERALES DE LA ACTIVIDAD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Desarrollo de producto, marketing digital, ciberseguridad, compliance normativo, investigación y calidad de datos.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Campus LUMINIC, SFI Lab, INTRINSIC VALUE Research, RGPD.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