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DICTAMEN JURÍDICO DE NO INTRUSISMO Y DELIMITACIÓN MIFID II / LMVSI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MARCO REGULATORIO · 01. NO INTRUSISMO MIFID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Fundamentación Jurídica de STATER como Proveedor Tecnológico y de Datos (DaaS/SaaS)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El Marco Legal de la Ley del Mercado de Valores y Servicios de Inversión (LMVSI)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Actividad Reservada a ESIs (Art. 143 LMVSI): </w:t>
      </w:r>
      <w:r>
        <w:rPr>
          <w:rFonts w:ascii="Calibri" w:hAnsi="Calibri"/>
          <w:sz w:val="20"/>
        </w:rPr>
        <w:t>El asesoramiento en materia de inversión (recomendación personalizada a un cliente específico respecto a instrumentos financieros concretos).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Actividad Desarrollada por STATER SL: </w:t>
      </w:r>
      <w:r>
        <w:rPr>
          <w:rFonts w:ascii="Calibri" w:hAnsi="Calibri"/>
          <w:sz w:val="20"/>
        </w:rPr>
        <w:t>Suministro de herramientas informáticas, software de modelado financiero determinista, difusión de datos contables públicos y formación. No existe recomendación personalizada ni recepción/transmisión de órdenes.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Criterios de Exclusión Jurisprudencial y Doctrinal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Carácter General y Algorítmico: </w:t>
      </w:r>
      <w:r>
        <w:rPr>
          <w:rFonts w:ascii="Calibri" w:hAnsi="Calibri"/>
          <w:sz w:val="20"/>
        </w:rPr>
        <w:t>Los análisis y ratios se generan mediante algoritmos cuantitativos públicos basados en estados auditados, sin ponderar el perfil de riesgo ni los objetivos del usuario.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Uso de Horquillas de Sensibilidad: </w:t>
      </w:r>
      <w:r>
        <w:rPr>
          <w:rFonts w:ascii="Calibri" w:hAnsi="Calibri"/>
          <w:sz w:val="20"/>
        </w:rPr>
        <w:t>La presentación de rangos de valoración y escenarios elimina la noción de 'precio objetivo unívoco' o 'consejo de compra'.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