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0F2043"/>
          <w:sz w:val="38"/>
        </w:rPr>
        <w:t>DOSSIER Y MEMORIA TÉCNICA DE SOLICITUD AL CNMV INNOVATION HUB</w:t>
      </w:r>
    </w:p>
    <w:p>
      <w:pPr>
        <w:spacing w:after="280"/>
      </w:pPr>
      <w:r>
        <w:rPr>
          <w:rFonts w:ascii="Calibri" w:hAnsi="Calibri"/>
          <w:b/>
          <w:color w:val="646E7D"/>
          <w:sz w:val="19"/>
        </w:rPr>
        <w:t>CATEGORÍA: 02. MARCO REGULATORIO · 02. CNMV INNOVATION HUB  ·  ECOSISTEMA STATER / ARGOS / LUMINIC / INTRINSIC VALUE</w:t>
        <w:br/>
      </w:r>
      <w:r>
        <w:rPr>
          <w:rFonts w:ascii="Calibri" w:hAnsi="Calibri"/>
          <w:i/>
          <w:color w:val="283246"/>
          <w:sz w:val="22"/>
        </w:rPr>
        <w:t>Presentación del Ecosistema STATER ante el Supervisor de los Mercados Españoles</w:t>
      </w:r>
    </w:p>
    <w:p>
      <w:pPr>
        <w:spacing w:after="240"/>
      </w:pPr>
      <w:r>
        <w:rPr>
          <w:color w:val="B4BECD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1. Identificación del Promotor y Naturaleza del Proyecto</w:t>
      </w:r>
    </w:p>
    <w:p>
      <w:pPr>
        <w:spacing w:after="80"/>
      </w:pPr>
      <w:r>
        <w:rPr>
          <w:rFonts w:ascii="Calibri" w:hAnsi="Calibri"/>
          <w:sz w:val="20"/>
        </w:rPr>
        <w:t>STATER, S.L. se presenta ante el Innovation Hub de la CNMV como una empresa de tecnología financiera (FinTech / RegTech) especializada en la automatización del parseo de reportes ESEF/iXBRL y extracción semántica de auditoría (ISA 701) y CSRD.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2. Planteamiento de la Consulta Regulatoria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Objeto de la Consulta: </w:t>
      </w:r>
      <w:r>
        <w:rPr>
          <w:rFonts w:ascii="Calibri" w:hAnsi="Calibri"/>
          <w:sz w:val="20"/>
        </w:rPr>
        <w:t>Confirmación de que la comercialización del Screener web, las APIs de datos normalizados, el software SFI Lab Desktop y los informes Intrinsic Value con horquillas de sensibilidad se enmarcan en la prestación de servicios tecnológicos no sujetos a reserva de actividad.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Garantías de Transparencia: </w:t>
      </w:r>
      <w:r>
        <w:rPr>
          <w:rFonts w:ascii="Calibri" w:hAnsi="Calibri"/>
          <w:sz w:val="20"/>
        </w:rPr>
        <w:t>Inclusión de avisos de descargo (Safe Harbor), ausencia de intermediación bursátil y trazabilidad criptográfica SHA-256 de los datos fuente.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