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PROTOCOLO DE CUMPLIMIENTO MAR Y GUÍA CNMV DE RECOMENDACIONES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MARCO REGULATORIO · 03. REGLAMENTO MAR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Cumplimiento del Reglamento (UE) 596/2014 y Criterios sobre Difusión de Análisis Financiero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Criterios de la Guía de la CNMV sobre Finfluencers (Mayo 2022)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Definición de Recomendación Objetiva: </w:t>
      </w:r>
      <w:r>
        <w:rPr>
          <w:rFonts w:ascii="Calibri" w:hAnsi="Calibri"/>
          <w:sz w:val="20"/>
        </w:rPr>
        <w:t>Cualquier información que aconseje o sugiera una estrategia de inversión debe distinguir claramente los hechos de las opiniones y divulgar cualquier conflicto de interés.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Protocolo STATER: </w:t>
      </w:r>
      <w:r>
        <w:rPr>
          <w:rFonts w:ascii="Calibri" w:hAnsi="Calibri"/>
          <w:sz w:val="20"/>
        </w:rPr>
        <w:t>Todo contenido público divulgado por STATER en redes sociales, web o colaboraciones con creadores de contenido se limitará a métricas contables históricas verificables y contrastadas.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