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PLAN DE EVOLUCIÓN A EMPRESA DE ASESORAMIENTO FINANCIERO (EAF)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MARCO REGULATORIO · 04. EAF TECNOLÓGICA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Hoja de Ruta Regulatoria a 3 Años para la Autorización Oficial ante la CNMV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Justificación y Momento de la Transición</w:t>
      </w:r>
    </w:p>
    <w:p>
      <w:pPr>
        <w:spacing w:after="80"/>
      </w:pPr>
      <w:r>
        <w:rPr>
          <w:rFonts w:ascii="Calibri" w:hAnsi="Calibri"/>
          <w:sz w:val="20"/>
        </w:rPr>
        <w:t>Durante las Fases 0 a 2, STATER opera 100% como proveedor de software y datos (DaaS). En el Año 3 (Fase 3), cuando el volumen de clientes y los recursos lo justifiquen, se podrá solicitar la licencia de EAF tecnológica para emitir recomendaciones personalizadas formalmente reconocidas.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