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INFORME DE REUTILIZACIÓN DE INFORMACIÓN DE OAMs Y DIRECTIVA (UE) 2019/1024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PROPIEDAD INTELECTUAL · 01. OAMS Y OPEN DATA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Base Legal Comunitaria para la Ingesta Masiva y Comercialización de Reportes ESEF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Marco Jurídico Europeo de Datos Abiertos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Directiva (UE) 2019/1024: </w:t>
      </w:r>
      <w:r>
        <w:rPr>
          <w:rFonts w:ascii="Calibri" w:hAnsi="Calibri"/>
          <w:sz w:val="20"/>
        </w:rPr>
        <w:t>Garantiza el derecho de reutilización de documentos y datos en poder del sector público y mecanismos oficiales de almacenamiento (OAMs).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Reglamento ESAP (UE) 2023/2859: </w:t>
      </w:r>
      <w:r>
        <w:rPr>
          <w:rFonts w:ascii="Calibri" w:hAnsi="Calibri"/>
          <w:sz w:val="20"/>
        </w:rPr>
        <w:t>Consagra el libre acceso automatizado a la información financiera y de sostenibilidad europea sin barreras de propiedad.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