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CUMPLIMIENTO DE LICENCIAS OPEN DATA: GLEIF Y TAXONOMÍAS XBRL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03. PROPIEDAD INTELECTUAL · 03. LICENCIAS OPEN DATA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Atribución y Uso Comercial de Códigos LEI (CC-BY 4.0) y Taxonomías ESEF/IFRS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Protocolo de Atribución Obligatoria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GLEIF LEI Data: </w:t>
      </w:r>
      <w:r>
        <w:rPr>
          <w:rFonts w:ascii="Calibri" w:hAnsi="Calibri"/>
          <w:sz w:val="20"/>
        </w:rPr>
        <w:t>Uso comercial permitido bajo licencia Creative Commons Attribution 4.0 (CC-BY 4.0). Requiere mención en la documentación de la API de STATER.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Taxonomías XBRL International: </w:t>
      </w:r>
      <w:r>
        <w:rPr>
          <w:rFonts w:ascii="Calibri" w:hAnsi="Calibri"/>
          <w:sz w:val="20"/>
        </w:rPr>
        <w:t>Libre uso de esquemas de etiquetado financiero bajo estándares abiertos de la Fundación IFRS.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