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Calibri" w:hAnsi="Calibri"/>
          <w:b/>
          <w:color w:val="0F2043"/>
          <w:sz w:val="38"/>
        </w:rPr>
        <w:t>PROTECCIÓN DEL DATA LAKE (DERECHO SUI GENERIS) Y MARCAS</w:t>
      </w:r>
    </w:p>
    <w:p>
      <w:pPr>
        <w:spacing w:after="280"/>
      </w:pPr>
      <w:r>
        <w:rPr>
          <w:rFonts w:ascii="Calibri" w:hAnsi="Calibri"/>
          <w:b/>
          <w:color w:val="646E7D"/>
          <w:sz w:val="19"/>
        </w:rPr>
        <w:t>CATEGORÍA: 03. PROPIEDAD INTELECTUAL · 04. DERECHO SUI GENERIS  ·  ECOSISTEMA STATER / ARGOS / LUMINIC / INTRINSIC VALUE</w:t>
        <w:br/>
      </w:r>
      <w:r>
        <w:rPr>
          <w:rFonts w:ascii="Calibri" w:hAnsi="Calibri"/>
          <w:i/>
          <w:color w:val="283246"/>
          <w:sz w:val="22"/>
        </w:rPr>
        <w:t>Blindaje de la Inversión Sustancial en la Base de Datos bajo Directiva 96/9/CE</w:t>
      </w:r>
    </w:p>
    <w:p>
      <w:pPr>
        <w:spacing w:after="240"/>
      </w:pPr>
      <w:r>
        <w:rPr>
          <w:color w:val="B4BECD"/>
        </w:rPr>
        <w:t>―――――――――――――――――――――――――――――――――――――――――――――――――――――――</w:t>
      </w:r>
    </w:p>
    <w:p>
      <w:pPr>
        <w:spacing w:before="240" w:after="80"/>
      </w:pPr>
      <w:r>
        <w:rPr>
          <w:rFonts w:ascii="Calibri" w:hAnsi="Calibri"/>
          <w:b/>
          <w:color w:val="142D5A"/>
          <w:sz w:val="26"/>
        </w:rPr>
        <w:t>1. El Derecho Sui Generis sobre la Base de Datos STATER</w:t>
      </w:r>
    </w:p>
    <w:p>
      <w:pPr>
        <w:spacing w:after="80"/>
      </w:pPr>
      <w:r>
        <w:rPr>
          <w:rFonts w:ascii="Calibri" w:hAnsi="Calibri"/>
          <w:sz w:val="20"/>
        </w:rPr>
        <w:t>La Directiva 96/9/CE y el TRLPI otorgan al fabricante de una base de datos el derecho exclusivo de impedir la extracción y/o reutilización no autorizada de la totalidad o una parte sustancial de su contenido, protegiendo la inversión técnica y financiera realizada en el Data Lake de STATER.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