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CLÁUSULA SAFE HARBOR Y DESCARGO PARA INFORMES INTRINSIC VALUE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04. AVISOS LEGALES · 02. SAFE HARBOR INFORMES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Texto Legal Obligatorio con Enfoque de Horquillas de Sensibilidad y Exclusión de Asesoramiento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Texto Íntegro de la Cláusula Safe Harbor (Pie de Informe PROD-08)</w:t>
      </w:r>
    </w:p>
    <w:p>
      <w:pPr>
        <w:spacing w:after="80"/>
      </w:pPr>
      <w:r>
        <w:rPr>
          <w:rFonts w:ascii="Calibri" w:hAnsi="Calibri"/>
          <w:sz w:val="20"/>
        </w:rPr>
        <w:t>AVISO LEGAL Y DESCARGO DE RESPONSABILIDAD (SAFE HARBOR): El presente informe ha sido generado algorítmicamente por STATER S.L. mediante el procesamiento automatizado de estados financieros públicos (ESEF/SEC) y modelos de descuento de flujos deterministas. La información y las horquillas de sensibilidad presentadas (escenarios Bear, Base y Bull) tienen carácter exclusivamente pedagógico, cuantitativo e informativo, y NO constituyen, bajo ninguna circunstancia, asesoramiento financiero en materia de inversión, recomendación personalizada de compra o venta, ni oferta comercial. STATER S.L. no evalúa la idoneidad ni el perfil de riesgo del destinatario. Las rentabilidades pasadas o modeladas no garantizan rendimientos futuros. La integridad de los datos fuente se certifica mediante hash criptográfico SHA-256.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