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F2043"/>
          <w:sz w:val="38"/>
        </w:rPr>
        <w:t>CONTRATO DE LICENCIA DE DATASETS BULK INSTITUCIONALES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05. CONTRATOS · 02. DATASETS BULK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Condiciones de Entrega Masiva de Datos Parquet/DuckDB (PROD-07)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Licencia de Uso y Prohibición de Reventa</w:t>
      </w:r>
    </w:p>
    <w:p>
      <w:pPr>
        <w:spacing w:after="80"/>
      </w:pPr>
      <w:r>
        <w:rPr>
          <w:rFonts w:ascii="Calibri" w:hAnsi="Calibri"/>
          <w:sz w:val="20"/>
        </w:rPr>
        <w:t>Cesión de archivos maestros vectorizados para uso exclusivo en los sistemas internos del cliente. Prohibición expresa de redistribución comercial o sublicenciamiento a terceros.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