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0F2043"/>
          <w:sz w:val="38"/>
        </w:rPr>
        <w:t>CONDICIONES GENERALES DE CONTRATACIÓN STATER PRO RETAIL</w:t>
      </w:r>
    </w:p>
    <w:p>
      <w:pPr>
        <w:spacing w:after="280"/>
      </w:pPr>
      <w:r>
        <w:rPr>
          <w:rFonts w:ascii="Calibri" w:hAnsi="Calibri"/>
          <w:b/>
          <w:color w:val="646E7D"/>
          <w:sz w:val="19"/>
        </w:rPr>
        <w:t>CATEGORÍA: 05. CONTRATOS · 03. SUSCRIPCIÓN RETAIL  ·  ECOSISTEMA STATER / ARGOS / LUMINIC / INTRINSIC VALUE</w:t>
        <w:br/>
      </w:r>
      <w:r>
        <w:rPr>
          <w:rFonts w:ascii="Calibri" w:hAnsi="Calibri"/>
          <w:i/>
          <w:color w:val="283246"/>
          <w:sz w:val="22"/>
        </w:rPr>
        <w:t>Términos del Servicio SaaS B2C (9,99 €/mes) y Política de Cancelación</w:t>
      </w:r>
    </w:p>
    <w:p>
      <w:pPr>
        <w:spacing w:after="240"/>
      </w:pPr>
      <w:r>
        <w:rPr>
          <w:color w:val="B4BECD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1. Modalidad de Suscripción Recurrente</w:t>
      </w:r>
    </w:p>
    <w:p>
      <w:pPr>
        <w:spacing w:after="80"/>
      </w:pPr>
      <w:r>
        <w:rPr>
          <w:rFonts w:ascii="Calibri" w:hAnsi="Calibri"/>
          <w:sz w:val="20"/>
        </w:rPr>
        <w:t>Cobro mensual o anual renovable automáticamente a través de Stripe. Cancelación sin penalización en cualquier momento desde el panel de usuario con efecto al fin del ciclo.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