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POLÍTICA DE PRIVACIDAD Y TRATAMIENTO DE DATOS DE DIRECTIVOS (IAGC)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06. PROTECCIÓN DE DATOS · 01. RGPD IAGC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Base Legal de Interés Legítimo y Publicidad Registral para Datos de Gobernanza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Tratamiento de Datos Personales de Consejeros y Directivos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Origen del Dato: </w:t>
      </w:r>
      <w:r>
        <w:rPr>
          <w:rFonts w:ascii="Calibri" w:hAnsi="Calibri"/>
          <w:sz w:val="20"/>
        </w:rPr>
        <w:t>Informes Anuales de Gobierno Corporativo (IAGC) publicados oficialmente por las cotizadas en los registros de la CNMV y bolsas europeas.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Base Jurídica (Art. 6.1.f RGPD): </w:t>
      </w:r>
      <w:r>
        <w:rPr>
          <w:rFonts w:ascii="Calibri" w:hAnsi="Calibri"/>
          <w:sz w:val="20"/>
        </w:rPr>
        <w:t>Interés legítimo en la transparencia del mercado y cumplimiento de la publicidad registral mercantil obligatoria para emisores cotizados.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Principio de Minimización: </w:t>
      </w:r>
      <w:r>
        <w:rPr>
          <w:rFonts w:ascii="Calibri" w:hAnsi="Calibri"/>
          <w:sz w:val="20"/>
        </w:rPr>
        <w:t>Solo se tratan el nombre corporativo, cargo, comisión a la que pertenece y remuneración auditada pública.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