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POLÍTICA DE COOKIES Y CUMPLIMIENTO LSSI-CE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06. PROTECCIÓN DE DATOS · 02. COOKIES LSSI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Banner de Consentimiento Informado y Gestión de Cookies Técnicas y Analíticas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Clasificación de Cookies Utilizadas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Cookies Técnicas Necesarias: </w:t>
      </w:r>
      <w:r>
        <w:rPr>
          <w:rFonts w:ascii="Calibri" w:hAnsi="Calibri"/>
          <w:sz w:val="20"/>
        </w:rPr>
        <w:t>Imprescindibles para la sesión de usuario y pasarela segura de Stripe (exentas de consentimiento previo).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Cookies Analíticas Anónimas: </w:t>
      </w:r>
      <w:r>
        <w:rPr>
          <w:rFonts w:ascii="Calibri" w:hAnsi="Calibri"/>
          <w:sz w:val="20"/>
        </w:rPr>
        <w:t>Telemetría interna sin cesión de datos a redes publicitarias de terceros.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