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MAGALLANES VALUE INVESTORS SGIIC</w:t>
      </w:r>
    </w:p>
    <w:p>
      <w:pPr>
        <w:spacing w:before="0" w:after="160"/>
      </w:pPr>
      <w:r>
        <w:rPr>
          <w:rFonts w:ascii="Calibri" w:hAnsi="Calibri"/>
          <w:b/>
          <w:sz w:val="19"/>
        </w:rPr>
        <w:t xml:space="preserve">Categoría: </w:t>
      </w:r>
      <w:r>
        <w:rPr>
          <w:rFonts w:ascii="Calibri" w:hAnsi="Calibri"/>
          <w:sz w:val="19"/>
        </w:rPr>
        <w:t xml:space="preserve">01. Gestoras Boutique y EAFs  |  </w:t>
      </w:r>
      <w:r>
        <w:rPr>
          <w:rFonts w:ascii="Calibri" w:hAnsi="Calibri"/>
          <w:b/>
          <w:sz w:val="19"/>
        </w:rPr>
        <w:t xml:space="preserve">Modo de ataque: </w:t>
      </w:r>
      <w:r>
        <w:rPr>
          <w:rFonts w:ascii="Calibri" w:hAnsi="Calibri"/>
          <w:sz w:val="19"/>
        </w:rPr>
        <w:t>1:1 Hiperpersonalizado (Outreach artesanal)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PERFIL DE LA EMPRESA / ORGANIZACIÓN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Gestora independiente de referencia en España especializada en renta variable europea bajo principios Value. Equipo de ~15 personas liderado por Iván Martín (Director de Inversiones) y Blanca Gómez. Gestionan más de 1.500M€ en fondos europeos, ibéricos y microcaps.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POSIBLE INTERÉS ──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Búsqueda sistemática de valor fundamental en cotizadas europeas con balances sólidos y ventajas competitivas. Necesitan auditar memorias contables complejas, provisiones y cuestiones de auditoría (KAM ISA 701) a escala continental.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MÉTODO MÁS CERTERO DE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Canal principal: </w:t>
      </w:r>
      <w:r>
        <w:rPr>
          <w:rFonts w:ascii="Calibri" w:hAnsi="Calibri"/>
          <w:color w:val="141414"/>
          <w:sz w:val="19"/>
        </w:rPr>
        <w:t>LinkedIn InMail profesional al equipo de análisis o email formal al departamento de inversiones.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Momento / excusa legítima: </w:t>
      </w:r>
      <w:r>
        <w:rPr>
          <w:rFonts w:ascii="Calibri" w:hAnsi="Calibri"/>
          <w:color w:val="141414"/>
          <w:sz w:val="19"/>
        </w:rPr>
        <w:t>Presentación de la carta trimestral de Magallanes o publicación de filings anuales de empresas industriales europeas que tengan bajo radar.</w:t>
      </w:r>
    </w:p>
    <w:p>
      <w:pPr>
        <w:spacing w:before="0" w:after="60" w:line="269" w:lineRule="auto"/>
      </w:pPr>
      <w:r>
        <w:rPr>
          <w:rFonts w:ascii="Calibri" w:hAnsi="Calibri"/>
          <w:color w:val="141414"/>
          <w:sz w:val="19"/>
        </w:rPr>
        <w:t>Errores a evitar con este perfil: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usar lenguaje especulativo ni hablar de indicadores técnicos o trading de corto plazo.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saturar de mensajes; Magallanes prioriza el análisis pausado y de largo plazo.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No obviar la importancia de la exactitud contable estricta.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PRODUCTOS QUE SATISFACEN SU NECESIDAD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Datasets Bulk (Parquet): </w:t>
      </w:r>
      <w:r>
        <w:rPr>
          <w:rFonts w:ascii="Calibri" w:hAnsi="Calibri"/>
          <w:color w:val="141414"/>
          <w:sz w:val="19"/>
        </w:rPr>
        <w:t>Ingesta masiva de fundamentales europeos para su equipo de research.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ARGOS Pro (Terminal Web): </w:t>
      </w:r>
      <w:r>
        <w:rPr>
          <w:rFonts w:ascii="Calibri" w:hAnsi="Calibri"/>
          <w:color w:val="141414"/>
          <w:sz w:val="19"/>
        </w:rPr>
        <w:t>Screening avanzado de métricas de calidad y valoración.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b/>
          <w:color w:val="141414"/>
          <w:sz w:val="19"/>
        </w:rPr>
        <w:t xml:space="preserve">• Founder Partner Account: </w:t>
      </w:r>
      <w:r>
        <w:rPr>
          <w:rFonts w:ascii="Calibri" w:hAnsi="Calibri"/>
          <w:color w:val="141414"/>
          <w:sz w:val="19"/>
        </w:rPr>
        <w:t>Acceso institucional exclusivo en fase pionera.</w:t>
      </w:r>
    </w:p>
    <w:p>
      <w:r>
        <w:br w:type="page"/>
      </w:r>
    </w:p>
    <w:p>
      <w:pPr>
        <w:spacing w:before="0" w:after="40"/>
      </w:pPr>
      <w:r>
        <w:rPr>
          <w:rFonts w:ascii="Calibri" w:hAnsi="Calibri"/>
          <w:b/>
          <w:color w:val="141414"/>
          <w:sz w:val="28"/>
        </w:rPr>
        <w:t>ESTRATEGIA DE CONTACTO: MAGALLANES VALUE INVESTORS SGIIC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PUNTOS CLAVE A DESARROLLAR EN EL PRIMER CONTACTO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1. La Apertura: </w:t>
      </w:r>
      <w:r>
        <w:rPr>
          <w:rFonts w:ascii="Calibri" w:hAnsi="Calibri"/>
          <w:color w:val="141414"/>
          <w:sz w:val="19"/>
        </w:rPr>
        <w:t>Compartir una anomalía o desglose de contingencias de auditoría detectado por ARGOS en cotizadas industriales europeas.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2. El Problema: </w:t>
      </w:r>
      <w:r>
        <w:rPr>
          <w:rFonts w:ascii="Calibri" w:hAnsi="Calibri"/>
          <w:color w:val="141414"/>
          <w:sz w:val="19"/>
        </w:rPr>
        <w:t>Facilitamos la detección temprana de riesgos de balance ocultos en las notas de auditoría que los terminales tradicionales ignoran.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3. La Oferta: </w:t>
      </w:r>
      <w:r>
        <w:rPr>
          <w:rFonts w:ascii="Calibri" w:hAnsi="Calibri"/>
          <w:color w:val="141414"/>
          <w:sz w:val="19"/>
        </w:rPr>
        <w:t>Acceso gratuito como entidad fundadora a la base de datos completa de filings ESEF.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4. La Petición: </w:t>
      </w:r>
      <w:r>
        <w:rPr>
          <w:rFonts w:ascii="Calibri" w:hAnsi="Calibri"/>
          <w:color w:val="141414"/>
          <w:sz w:val="19"/>
        </w:rPr>
        <w:t>Validación metodológica por parte de sus analistas del pipeline de extracción contable.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5. El Cierre: </w:t>
      </w:r>
      <w:r>
        <w:rPr>
          <w:rFonts w:ascii="Calibri" w:hAnsi="Calibri"/>
          <w:color w:val="141414"/>
          <w:sz w:val="19"/>
        </w:rPr>
        <w:t>Envío de muestra del dataset de sus principales posiciones en formato Parquet o Excel sin compromiso.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DATOS DE APOYO A MENCIONAR ──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100% de datos anclados a página oficial y hash SHA-256.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Cobertura de mercados regulados y alternativos europeos.</w:t>
      </w:r>
    </w:p>
    <w:p>
      <w:pPr>
        <w:pStyle w:val="ListBullet"/>
        <w:spacing w:before="0" w:after="40" w:line="264" w:lineRule="auto"/>
        <w:ind w:left="288"/>
      </w:pPr>
      <w:r>
        <w:rPr>
          <w:rFonts w:ascii="Calibri" w:hAnsi="Calibri"/>
          <w:color w:val="141414"/>
          <w:sz w:val="19"/>
        </w:rPr>
        <w:t>Propuesta limitada a 5 gestoras pioneras.</w:t>
      </w:r>
    </w:p>
    <w:p>
      <w:pPr>
        <w:keepNext/>
        <w:spacing w:before="120" w:after="40"/>
      </w:pPr>
      <w:r>
        <w:rPr>
          <w:rFonts w:ascii="Calibri" w:hAnsi="Calibri"/>
          <w:b/>
          <w:color w:val="282828"/>
          <w:sz w:val="20"/>
        </w:rPr>
        <w:t>── DIFICULTAD Y TIEMPO ESTIMADO ──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Nivel de dificultad: </w:t>
      </w:r>
      <w:r>
        <w:rPr>
          <w:rFonts w:ascii="Calibri" w:hAnsi="Calibri"/>
          <w:color w:val="141414"/>
          <w:sz w:val="19"/>
        </w:rPr>
        <w:t>Alta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primera respuesta: </w:t>
      </w:r>
      <w:r>
        <w:rPr>
          <w:rFonts w:ascii="Calibri" w:hAnsi="Calibri"/>
          <w:color w:val="141414"/>
          <w:sz w:val="19"/>
        </w:rPr>
        <w:t>10 a 20 días</w:t>
      </w:r>
    </w:p>
    <w:p>
      <w:pPr>
        <w:spacing w:before="0" w:after="60" w:line="269" w:lineRule="auto"/>
      </w:pPr>
      <w:r>
        <w:rPr>
          <w:rFonts w:ascii="Calibri" w:hAnsi="Calibri"/>
          <w:b/>
          <w:color w:val="141414"/>
          <w:sz w:val="19"/>
        </w:rPr>
        <w:t xml:space="preserve">Tiempo hasta cierre / demo: </w:t>
      </w:r>
      <w:r>
        <w:rPr>
          <w:rFonts w:ascii="Calibri" w:hAnsi="Calibri"/>
          <w:color w:val="141414"/>
          <w:sz w:val="19"/>
        </w:rPr>
        <w:t>4 a 6 semanas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808080"/>
        <w:sz w:val="16"/>
      </w:rPr>
      <w:t>Confidencial — Uso Interno Desarrollo de Negocio STATER 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6"/>
      </w:rPr>
      <w:t>STATER MK · FICHA OPERATIVA DE CLIENTE POTENCIAL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