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41414"/>
          <w:sz w:val="28"/>
        </w:rPr>
        <w:t>NEXTEP FINANCE EAF</w:t>
      </w:r>
    </w:p>
    <w:p>
      <w:pPr>
        <w:spacing w:before="0" w:after="160"/>
      </w:pPr>
      <w:r>
        <w:rPr>
          <w:rFonts w:ascii="Calibri" w:hAnsi="Calibri"/>
          <w:b/>
          <w:sz w:val="19"/>
        </w:rPr>
        <w:t xml:space="preserve">Categoría: </w:t>
      </w:r>
      <w:r>
        <w:rPr>
          <w:rFonts w:ascii="Calibri" w:hAnsi="Calibri"/>
          <w:sz w:val="19"/>
        </w:rPr>
        <w:t xml:space="preserve">01. Gestoras Boutique y EAFs  |  </w:t>
      </w:r>
      <w:r>
        <w:rPr>
          <w:rFonts w:ascii="Calibri" w:hAnsi="Calibri"/>
          <w:b/>
          <w:sz w:val="19"/>
        </w:rPr>
        <w:t xml:space="preserve">Modo de ataque: </w:t>
      </w:r>
      <w:r>
        <w:rPr>
          <w:rFonts w:ascii="Calibri" w:hAnsi="Calibri"/>
          <w:sz w:val="19"/>
        </w:rPr>
        <w:t>1:1 Directo (Enfoque en independencia)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PERFIL DE LA EMPRESA / ORGANIZACIÓN ──</w:t>
      </w:r>
    </w:p>
    <w:p>
      <w:pPr>
        <w:spacing w:before="0" w:after="60" w:line="269" w:lineRule="auto"/>
      </w:pPr>
      <w:r>
        <w:rPr>
          <w:rFonts w:ascii="Calibri" w:hAnsi="Calibri"/>
          <w:color w:val="141414"/>
          <w:sz w:val="19"/>
        </w:rPr>
        <w:t>EAF independiente registrada en la CNMV fundada por Víctor Alvargonzález. Modelo de negocio pionero basado exclusivamente en cobro al cliente sin retrocesiones bancarias, asesorando a inversores particulares y patrimonios medios.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POSIBLE INTERÉS ──</w:t>
      </w:r>
    </w:p>
    <w:p>
      <w:pPr>
        <w:spacing w:before="0" w:after="60" w:line="269" w:lineRule="auto"/>
      </w:pPr>
      <w:r>
        <w:rPr>
          <w:rFonts w:ascii="Calibri" w:hAnsi="Calibri"/>
          <w:color w:val="141414"/>
          <w:sz w:val="19"/>
        </w:rPr>
        <w:t>Alineación total con la democratización financiera y el fin de los conflictos de interés bancarios. Necesitan herramientas ágiles para contrastar datos de fondos, acciones y renta fija para sus recomendaciones independientes.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MÉTODO MÁS CERTERO DE CONTACTO ──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Canal principal: </w:t>
      </w:r>
      <w:r>
        <w:rPr>
          <w:rFonts w:ascii="Calibri" w:hAnsi="Calibri"/>
          <w:color w:val="141414"/>
          <w:sz w:val="19"/>
        </w:rPr>
        <w:t>LinkedIn / Email corporativo de contacto profesional.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Momento / excusa legítima: </w:t>
      </w:r>
      <w:r>
        <w:rPr>
          <w:rFonts w:ascii="Calibri" w:hAnsi="Calibri"/>
          <w:color w:val="141414"/>
          <w:sz w:val="19"/>
        </w:rPr>
        <w:t>Publicación de vídeos de divulgación financiera de Víctor Alvargonzález o cambios regulatorios sobre retrocesiones en España.</w:t>
      </w:r>
    </w:p>
    <w:p>
      <w:pPr>
        <w:spacing w:before="0" w:after="60" w:line="269" w:lineRule="auto"/>
      </w:pPr>
      <w:r>
        <w:rPr>
          <w:rFonts w:ascii="Calibri" w:hAnsi="Calibri"/>
          <w:color w:val="141414"/>
          <w:sz w:val="19"/>
        </w:rPr>
        <w:t>Errores a evitar con este perfil: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color w:val="141414"/>
          <w:sz w:val="19"/>
        </w:rPr>
        <w:t>No sugerir acuerdos que impliquen venta cruzada de productos con conflicto de interés.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color w:val="141414"/>
          <w:sz w:val="19"/>
        </w:rPr>
        <w:t>Centrarse en el valor del dato objetivo como soporte al asesoramiento independiente.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PRODUCTOS QUE SATISFACEN SU NECESIDAD ──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b/>
          <w:color w:val="141414"/>
          <w:sz w:val="19"/>
        </w:rPr>
        <w:t xml:space="preserve">• ARGOS Pro (SaaS): </w:t>
      </w:r>
      <w:r>
        <w:rPr>
          <w:rFonts w:ascii="Calibri" w:hAnsi="Calibri"/>
          <w:color w:val="141414"/>
          <w:sz w:val="19"/>
        </w:rPr>
        <w:t>Plataforma de consulta rápida para análisis de cotizadas y emisores.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b/>
          <w:color w:val="141414"/>
          <w:sz w:val="19"/>
        </w:rPr>
        <w:t xml:space="preserve">• Founder Partner License: </w:t>
      </w:r>
      <w:r>
        <w:rPr>
          <w:rFonts w:ascii="Calibri" w:hAnsi="Calibri"/>
          <w:color w:val="141414"/>
          <w:sz w:val="19"/>
        </w:rPr>
        <w:t>Acceso institucional gratuito en fase inicial.</w:t>
      </w:r>
    </w:p>
    <w:p>
      <w:r>
        <w:br w:type="page"/>
      </w:r>
    </w:p>
    <w:p>
      <w:pPr>
        <w:spacing w:before="0" w:after="40"/>
      </w:pPr>
      <w:r>
        <w:rPr>
          <w:rFonts w:ascii="Calibri" w:hAnsi="Calibri"/>
          <w:b/>
          <w:color w:val="141414"/>
          <w:sz w:val="28"/>
        </w:rPr>
        <w:t>ESTRATEGIA DE CONTACTO: NEXTEP FINANCE EAF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PUNTOS CLAVE A DESARROLLAR EN EL PRIMER CONTACTO ──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1. La Apertura: </w:t>
      </w:r>
      <w:r>
        <w:rPr>
          <w:rFonts w:ascii="Calibri" w:hAnsi="Calibri"/>
          <w:color w:val="141414"/>
          <w:sz w:val="19"/>
        </w:rPr>
        <w:t>Felicitar por su defensa del asesoramiento financiero independiente y presentar STATER como infraestructura afín.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2. El Problema: </w:t>
      </w:r>
      <w:r>
        <w:rPr>
          <w:rFonts w:ascii="Calibri" w:hAnsi="Calibri"/>
          <w:color w:val="141414"/>
          <w:sz w:val="19"/>
        </w:rPr>
        <w:t>Falta de herramientas de datos empresariales accesibles que no estén vinculadas a grandes bancos o plataformas de colocación.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3. La Oferta: </w:t>
      </w:r>
      <w:r>
        <w:rPr>
          <w:rFonts w:ascii="Calibri" w:hAnsi="Calibri"/>
          <w:color w:val="141414"/>
          <w:sz w:val="19"/>
        </w:rPr>
        <w:t>Licencia Founder de ARGOS para su equipo de asesores.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4. La Petición: </w:t>
      </w:r>
      <w:r>
        <w:rPr>
          <w:rFonts w:ascii="Calibri" w:hAnsi="Calibri"/>
          <w:color w:val="141414"/>
          <w:sz w:val="19"/>
        </w:rPr>
        <w:t>Feedback operativo sobre la interfaz y usabilidad para el asesor patrimonial.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5. El Cierre: </w:t>
      </w:r>
      <w:r>
        <w:rPr>
          <w:rFonts w:ascii="Calibri" w:hAnsi="Calibri"/>
          <w:color w:val="141414"/>
          <w:sz w:val="19"/>
        </w:rPr>
        <w:t>Demostración de 10 minutos de la herramienta de screening de solvencia.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DATOS DE APOYO A MENCIONAR ──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color w:val="141414"/>
          <w:sz w:val="19"/>
        </w:rPr>
        <w:t>100% independiente de entidades bancarias.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color w:val="141414"/>
          <w:sz w:val="19"/>
        </w:rPr>
        <w:t>Datos públicos verificables al servicio del asesor independiente.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DIFICULTAD Y TIEMPO ESTIMADO ──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Nivel de dificultad: </w:t>
      </w:r>
      <w:r>
        <w:rPr>
          <w:rFonts w:ascii="Calibri" w:hAnsi="Calibri"/>
          <w:color w:val="141414"/>
          <w:sz w:val="19"/>
        </w:rPr>
        <w:t>Media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Tiempo hasta primera respuesta: </w:t>
      </w:r>
      <w:r>
        <w:rPr>
          <w:rFonts w:ascii="Calibri" w:hAnsi="Calibri"/>
          <w:color w:val="141414"/>
          <w:sz w:val="19"/>
        </w:rPr>
        <w:t>7 a 14 días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Tiempo hasta cierre / demo: </w:t>
      </w:r>
      <w:r>
        <w:rPr>
          <w:rFonts w:ascii="Calibri" w:hAnsi="Calibri"/>
          <w:color w:val="141414"/>
          <w:sz w:val="19"/>
        </w:rPr>
        <w:t>3 a 4 semanas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/>
        <w:color w:val="808080"/>
        <w:sz w:val="16"/>
      </w:rPr>
      <w:t>Confidencial — Uso Interno Desarrollo de Negocio STATER 2.0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808080"/>
        <w:sz w:val="16"/>
      </w:rPr>
      <w:t>STATER MK · FICHA OPERATIVA DE CLIENTE POTENCIAL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