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ARQUETIPO MULTI-FAMILY OFFICE MEDIANO (20M–100M€ AUM)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02. Family Offices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1:1 Institucional (Enfoque en eficiencia de costes)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Entidades de gestión patrimonial que asesoran a entre 5 y 20 familias empresarias. Equipos de 3 a 8 personas con sede en Madrid, Barcelona, Bilbao o Valencia. Cuentan con presupuestos ajustados de tecnología financiera.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Necesitan herramientas profesionales de screening y control de riesgos contables pero no pueden justificar el coste de 3 o 4 licencias de terminales de 30.000 €/año. Valoran la agilidad y la facilidad de integración en Excel y PowerBI.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LinkedIn InMail a socios directores o email corporativo.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Planificación anual de presupuestos de software financiero (Q4/Q1) o publicación de resultados semestrales.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vender funciones innecesarias; centrarse en la relación calidad-precio y la rapidez de análisis.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t>• ARGOS Pro (Multi-usuario): Acceso web completo para el equipo de análisis (3.500 €/año).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Exportaciones Parquet / Excel: </w:t>
      </w:r>
      <w:r>
        <w:rPr>
          <w:rFonts w:ascii="Calibri" w:hAnsi="Calibri"/>
          <w:color w:val="141414"/>
          <w:sz w:val="19"/>
        </w:rPr>
        <w:t>Descarga de series fundamentales para comités de inversión.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ARQUETIPO MULTI-FAMILY OFFICE MEDIANO (20M–100M€ AUM)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Demostrar cómo sustituir el 80% de las consultas de fundamentales de terminales caros por una fracción del coste.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Sobrecoste injustificado en proveedores de datos que no cubren adecuadamente el mercado mediano europeo.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Prueba piloto institucional de 6 meses con soporte técnico incluido.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Evaluación comparativa frente a sus herramientas actuales.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Activación inmediata de credenciales corporativas de prueba.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Ahorro de hasta el 85% en costes de proveedores de datos.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Cobertura total de España, Francia, Alemania, Italia y Países Bajos.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Media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10 a 15 días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1 a 2 meses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