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FAMILY OFFICES INDUSTRIALES DE LEVANTE (MURCIA / ALICANTE / VALENCIA)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02. Family Offices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 / Proximidad Geográfica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Sociedades patrimoniales y family offices de grupos industriales consolidados del sureste español (sector agroalimentario, logística, renovables y distribución). Patrimonios familiares de 30M€ a 200M€ con tesorería e inversiones directas en bolsa europea.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Diversificación de tesorería corporativa en cotizadas europeas de alta rentabilidad por dividendo y solvencia balanceada. Exigen control de riesgos de quiebra (Altman Z-Score) y seguimiento de competidores europeos.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formal con directores financieros / gestores de patrimonios familiares en la zona Levante.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Cierres de ejercicio contable, presentación de memorias anuales o foros empresariales regionales.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presentar productos complejos o derivados; prefieren inversiones tangibles en renta variable solvente.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obviar la cercanía geográfica y la seriedad institucional.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Institucional: </w:t>
      </w:r>
      <w:r>
        <w:rPr>
          <w:rFonts w:ascii="Calibri" w:hAnsi="Calibri"/>
          <w:color w:val="141414"/>
          <w:sz w:val="19"/>
        </w:rPr>
        <w:t>Herramienta de monitorización y alertas de solvencia de empresas en cartera.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Portal de Benchmarking Sectorial: </w:t>
      </w:r>
      <w:r>
        <w:rPr>
          <w:rFonts w:ascii="Calibri" w:hAnsi="Calibri"/>
          <w:color w:val="141414"/>
          <w:sz w:val="19"/>
        </w:rPr>
        <w:t>Comparativas de márgenes y costes frente a pares europeos.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FAMILY OFFICES INDUSTRIALES DE LEVANTE (MURCIA / ALICANTE / VALENCIA)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Destacar el desarrollo de una infraestructura de datos de nivel europeo nacida con vocación de rigor analítico desde la Región.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directas para supervisar la salud contable de cotizadas europeas sin intermediarios bancarios costosos.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institucional preferente y personalizado para el departamento financiero del holding.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Adopción como herramienta de apoyo en la toma de decisiones de inversión directa.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de presentación ejecutiva presencial o virtual.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Seguimiento de más de 500 cotizadas industriales y de consumo en Europa.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Métricas de solvencia, liquidez y deuda neta/EBITDA normalizadas.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