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MDF FAMILY PARTNERS</w:t>
      </w:r>
    </w:p>
    <w:p>
      <w:pPr>
        <w:spacing w:before="0" w:after="160"/>
      </w:pPr>
      <w:r>
        <w:rPr>
          <w:rFonts w:ascii="Calibri" w:hAnsi="Calibri"/>
          <w:b/>
          <w:sz w:val="19"/>
        </w:rPr>
        <w:t xml:space="preserve">Categoría: </w:t>
      </w:r>
      <w:r>
        <w:rPr>
          <w:rFonts w:ascii="Calibri" w:hAnsi="Calibri"/>
          <w:sz w:val="19"/>
        </w:rPr>
        <w:t xml:space="preserve">02. Family Offices  |  </w:t>
      </w:r>
      <w:r>
        <w:rPr>
          <w:rFonts w:ascii="Calibri" w:hAnsi="Calibri"/>
          <w:b/>
          <w:sz w:val="19"/>
        </w:rPr>
        <w:t xml:space="preserve">Modo de ataque: </w:t>
      </w:r>
      <w:r>
        <w:rPr>
          <w:rFonts w:ascii="Calibri" w:hAnsi="Calibri"/>
          <w:sz w:val="19"/>
        </w:rPr>
        <w:t>1:1 Institucional de Alta Confianza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PERFIL DE LA EMPRESA / ORGANIZACIÓN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Multi-family office independiente líder en España y Latinoamérica con sedes en Madrid, Barcelona, Miami y Ginebra. Gestiona más de 2.000M€ de grandes patrimonios familiares. Socios directores: Daniel de Fernando y Javier de Muguiro.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POSIBLE INTERÉS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Exigencia de máxima calidad documental y solvencia en inversiones directas y coinversiones en empresas europeas. Necesidad de auditar riesgos contables y métricas CSRD sin depender de informes comerciales opacos.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MÉTODO MÁS CERTERO DE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Canal principal: </w:t>
      </w:r>
      <w:r>
        <w:rPr>
          <w:rFonts w:ascii="Calibri" w:hAnsi="Calibri"/>
          <w:color w:val="141414"/>
          <w:sz w:val="19"/>
        </w:rPr>
        <w:t>Presentación formal vía email ejecutivo al Director de Inversiones (CIO) o contacto por LinkedIn profesional.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Momento / excusa legítima: </w:t>
      </w:r>
      <w:r>
        <w:rPr>
          <w:rFonts w:ascii="Calibri" w:hAnsi="Calibri"/>
          <w:color w:val="141414"/>
          <w:sz w:val="19"/>
        </w:rPr>
        <w:t>Entrada en vigor de nuevos hitos de la Directiva CSRD o eventos de gestión patrimonial institucional.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Errores a evitar con este perfil: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No usar argumentos comerciales agresivos ni terminología de trading minorista.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No descuidar la confidencialidad y la seguridad de la información.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PRODUCTOS QUE SATISFACEN SU NECESIDAD ──</w:t>
      </w:r>
    </w:p>
    <w:p>
      <w:pPr>
        <w:pStyle w:val="ListBullet"/>
        <w:spacing w:before="0" w:after="40" w:line="264" w:lineRule="auto"/>
        <w:ind w:left="288"/>
      </w:pPr>
      <w:r>
        <w:t>• ARGOS Datasets Bulk (Parquet): Bases de datos masivas para modelos internos de valoración patrimonial (12.000 €/año).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Informes Intrinsic Value: </w:t>
      </w:r>
      <w:r>
        <w:rPr>
          <w:rFonts w:ascii="Calibri" w:hAnsi="Calibri"/>
          <w:color w:val="141414"/>
          <w:sz w:val="19"/>
        </w:rPr>
        <w:t>Análisis sectorial independiente de riesgos de auditoría y gobernanza.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ESTRATEGIA DE CONTACTO: MDF FAMILY PARTNERS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PUNTOS CLAVE A DESARROLLAR EN EL PRIMER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1. La Apertura: </w:t>
      </w:r>
      <w:r>
        <w:rPr>
          <w:rFonts w:ascii="Calibri" w:hAnsi="Calibri"/>
          <w:color w:val="141414"/>
          <w:sz w:val="19"/>
        </w:rPr>
        <w:t>Presentar la capacidad de ARGOS para auditar con hash criptográfico SHA-256 los estados financieros y KAMs de cotizadas europeas.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2. El Problema: </w:t>
      </w:r>
      <w:r>
        <w:rPr>
          <w:rFonts w:ascii="Calibri" w:hAnsi="Calibri"/>
          <w:color w:val="141414"/>
          <w:sz w:val="19"/>
        </w:rPr>
        <w:t>La falta de trazabilidad documental en proveedores tradicionales genera riesgos de cumplimiento en la debida diligencia de grandes patrimonios.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3. La Oferta: </w:t>
      </w:r>
      <w:r>
        <w:rPr>
          <w:rFonts w:ascii="Calibri" w:hAnsi="Calibri"/>
          <w:color w:val="141414"/>
          <w:sz w:val="19"/>
        </w:rPr>
        <w:t>Acceso piloto de 6 meses ampliable a 12 meses a los datasets bulk de cotizadas europeas.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4. La Petición: </w:t>
      </w:r>
      <w:r>
        <w:rPr>
          <w:rFonts w:ascii="Calibri" w:hAnsi="Calibri"/>
          <w:color w:val="141414"/>
          <w:sz w:val="19"/>
        </w:rPr>
        <w:t>Evaluación técnica del equipo de análisis de inversiones.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5. El Cierre: </w:t>
      </w:r>
      <w:r>
        <w:rPr>
          <w:rFonts w:ascii="Calibri" w:hAnsi="Calibri"/>
          <w:color w:val="141414"/>
          <w:sz w:val="19"/>
        </w:rPr>
        <w:t>Envío de dossier ejecutivo confidencial con muestra de datos de compañías europeas.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DATOS DE APOYO A MENCIONAR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Trazabilidad completa con hash SHA-256 anclado a fuentes regulatorias oficiales.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Ahorro significativo frente a licencias corporativas de terminales globales.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DIFICULTAD Y TIEMPO ESTIMADO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Nivel de dificultad: </w:t>
      </w:r>
      <w:r>
        <w:rPr>
          <w:rFonts w:ascii="Calibri" w:hAnsi="Calibri"/>
          <w:color w:val="141414"/>
          <w:sz w:val="19"/>
        </w:rPr>
        <w:t>Alta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primera respuesta: </w:t>
      </w:r>
      <w:r>
        <w:rPr>
          <w:rFonts w:ascii="Calibri" w:hAnsi="Calibri"/>
          <w:color w:val="141414"/>
          <w:sz w:val="19"/>
        </w:rPr>
        <w:t>15 a 30 días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cierre / demo: </w:t>
      </w:r>
      <w:r>
        <w:rPr>
          <w:rFonts w:ascii="Calibri" w:hAnsi="Calibri"/>
          <w:color w:val="141414"/>
          <w:sz w:val="19"/>
        </w:rPr>
        <w:t>2 a 3 meses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808080"/>
        <w:sz w:val="16"/>
      </w:rPr>
      <w:t>Confidencial — Uso Interno Desarrollo de Negocio STATER 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6"/>
      </w:rPr>
      <w:t>STATER MK · FICHA OPERATIVA DE CLIENTE POTENCIAL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