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FELLOW FUNDERS (FINANZAS CORPORATIVAS Y ASESOR REGISTRADO)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Estratégico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Firma fintech y boutique de finanzas corporativas registrada como Asesor Registrado en BME Growth y Scaleup. Especialistas en valoración y salidas a bolsa de scaleups.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Herramientas de valoración comparada y múltiplos de cotizadas europeas para justificar rangos de precio en salidas a bolsa.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a socios directores de Corporate Finance.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Anuncio de nuevas operaciones de salida a bolsa en BME Growth.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enfocarlo como herramienta de auditoría clásica; enfatizar valoración y múltiplos de mercado.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Pro Valuation: </w:t>
      </w:r>
      <w:r>
        <w:rPr>
          <w:rFonts w:ascii="Calibri" w:hAnsi="Calibri"/>
          <w:color w:val="141414"/>
          <w:sz w:val="19"/>
        </w:rPr>
        <w:t>Múltiplos de valoración y ratios financieros de pymes cotizadas.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Portal Emisor: </w:t>
      </w:r>
      <w:r>
        <w:rPr>
          <w:rFonts w:ascii="Calibri" w:hAnsi="Calibri"/>
          <w:color w:val="141414"/>
          <w:sz w:val="19"/>
        </w:rPr>
        <w:t>Herramienta de visibilidad para las empresas que incorporan a bolsa.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FELLOW FUNDERS (FINANZAS CORPORATIVAS Y ASESOR REGISTRADO)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Compartir múltiplos sectoriales y márgenes de caja de cotizadas homólogas en Euronext.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escasez de datos limpios de comparables europeos ralentiza los informes de valoración.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Founder a la plataforma para sus analistas de valoración.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Validación de los múltiplos y uso recurrente en sus dossiers de salida a bolsa.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Demo rápida de 15 minutos enfocada en comparables sectoriales.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Múltiplos EV/EBITDA, P/E, P/B y ratios de endeudamiento normalizados.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3 a 4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