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FORVIS MAZARS ESPAÑA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Firma internacional de auditoría y consultoría integrada, con fuerte presencia europea y especialización en entidades de interés público y medianas cotizadas.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Herramientas de comparación paneuropea de filings ESEF para clientes con filiales en Francia, Alemania y España.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a Socios de Auditoría Internacional / Sostenibilidad.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memorias de cotizadas transfronterizas europeas.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limitar el pitch a España; destacar la cobertura paneuropea de ARGOS.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Pan-European Hub: </w:t>
      </w:r>
      <w:r>
        <w:rPr>
          <w:rFonts w:ascii="Calibri" w:hAnsi="Calibri"/>
          <w:color w:val="141414"/>
          <w:sz w:val="19"/>
        </w:rPr>
        <w:t>Acceso a filings ESEF normalizados de 5 países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API REST Institucional: </w:t>
      </w:r>
      <w:r>
        <w:rPr>
          <w:rFonts w:ascii="Calibri" w:hAnsi="Calibri"/>
          <w:color w:val="141414"/>
          <w:sz w:val="19"/>
        </w:rPr>
        <w:t>Integración de datos contables en sus plataformas.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FORVIS MAZARS ESPAÑA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Mostrar la normalización de filings de la AMF francesa y la CNMV bajo el mismo esquema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fragmentación en 27 OAMs nacionales dificulta la comparabilidad inmediata de grupos europeos.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de prueba a los datos de España, Francia y Países Bajos.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Revisión técnica de la consistencia de los metadatos contables.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Sesión de trabajo virtual con el equipo de auditoría.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Normalización canónica de NIIF-UE entre distintas jurisdicciones.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