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41414"/>
          <w:sz w:val="28"/>
        </w:rPr>
        <w:t>GRANT THORNTON ESPAÑA</w:t>
      </w:r>
    </w:p>
    <w:p>
      <w:pPr>
        <w:spacing w:before="0" w:after="160"/>
      </w:pPr>
      <w:r>
        <w:rPr>
          <w:rFonts w:ascii="Calibri" w:hAnsi="Calibri"/>
          <w:b/>
          <w:sz w:val="19"/>
        </w:rPr>
        <w:t xml:space="preserve">Categoría: </w:t>
      </w:r>
      <w:r>
        <w:rPr>
          <w:rFonts w:ascii="Calibri" w:hAnsi="Calibri"/>
          <w:sz w:val="19"/>
        </w:rPr>
        <w:t xml:space="preserve">03. Auditoras y Boutiques M&amp;A  |  </w:t>
      </w:r>
      <w:r>
        <w:rPr>
          <w:rFonts w:ascii="Calibri" w:hAnsi="Calibri"/>
          <w:b/>
          <w:sz w:val="19"/>
        </w:rPr>
        <w:t xml:space="preserve">Modo de ataque: </w:t>
      </w:r>
      <w:r>
        <w:rPr>
          <w:rFonts w:ascii="Calibri" w:hAnsi="Calibri"/>
          <w:sz w:val="19"/>
        </w:rPr>
        <w:t>1:1 Institucional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PERFIL DE LA EMPRESA / ORGANIZACIÓN ──</w:t>
      </w:r>
    </w:p>
    <w:p>
      <w:pPr>
        <w:spacing w:before="0" w:after="60" w:line="269" w:lineRule="auto"/>
      </w:pPr>
      <w:r>
        <w:rPr>
          <w:rFonts w:ascii="Calibri" w:hAnsi="Calibri"/>
          <w:color w:val="141414"/>
          <w:sz w:val="19"/>
        </w:rPr>
        <w:t>Firma multidisciplinar de auditoría, consultoría y asesoramiento financiero con 12 oficinas en España y fuerte liderazgo en empresas medianas del Mercado Continuo y BME Growth.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POSIBLE INTERÉS ──</w:t>
      </w:r>
    </w:p>
    <w:p>
      <w:pPr>
        <w:spacing w:before="0" w:after="60" w:line="269" w:lineRule="auto"/>
      </w:pPr>
      <w:r>
        <w:rPr>
          <w:rFonts w:ascii="Calibri" w:hAnsi="Calibri"/>
          <w:color w:val="141414"/>
          <w:sz w:val="19"/>
        </w:rPr>
        <w:t>Eficiencia en procesos de due diligence contable y de sostenibilidad en operaciones de M&amp;A y auditoría estatutaria de pymes cotizadas.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MÉTODO MÁS CERTERO DE CONTACTO ──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Canal principal: </w:t>
      </w:r>
      <w:r>
        <w:rPr>
          <w:rFonts w:ascii="Calibri" w:hAnsi="Calibri"/>
          <w:color w:val="141414"/>
          <w:sz w:val="19"/>
        </w:rPr>
        <w:t>LinkedIn / Email a Socios de Corporate Finance o Auditoría.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Momento / excusa legítima: </w:t>
      </w:r>
      <w:r>
        <w:rPr>
          <w:rFonts w:ascii="Calibri" w:hAnsi="Calibri"/>
          <w:color w:val="141414"/>
          <w:sz w:val="19"/>
        </w:rPr>
        <w:t>Campañas de incorporación de tecnología en auditoría o foros de sostenibilidad empresarial.</w:t>
      </w:r>
    </w:p>
    <w:p>
      <w:pPr>
        <w:spacing w:before="0" w:after="60" w:line="269" w:lineRule="auto"/>
      </w:pPr>
      <w:r>
        <w:rPr>
          <w:rFonts w:ascii="Calibri" w:hAnsi="Calibri"/>
          <w:color w:val="141414"/>
          <w:sz w:val="19"/>
        </w:rPr>
        <w:t>Errores a evitar con este perfil: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No plantear soluciones rígidas; demandan integración ágil con sus flujos de trabajo.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PRODUCTOS QUE SATISFACEN SU NECESIDAD ──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b/>
          <w:color w:val="141414"/>
          <w:sz w:val="19"/>
        </w:rPr>
        <w:t xml:space="preserve">• ARGOS Datasets &amp; Screener KAM: </w:t>
      </w:r>
      <w:r>
        <w:rPr>
          <w:rFonts w:ascii="Calibri" w:hAnsi="Calibri"/>
          <w:color w:val="141414"/>
          <w:sz w:val="19"/>
        </w:rPr>
        <w:t>Acceso masivo a cuestiones clave de auditoría para análisis sectorial.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b/>
          <w:color w:val="141414"/>
          <w:sz w:val="19"/>
        </w:rPr>
        <w:t xml:space="preserve">• Licencia Enterprise: </w:t>
      </w:r>
      <w:r>
        <w:rPr>
          <w:rFonts w:ascii="Calibri" w:hAnsi="Calibri"/>
          <w:color w:val="141414"/>
          <w:sz w:val="19"/>
        </w:rPr>
        <w:t>Suscripción anual corporativa.</w:t>
      </w:r>
    </w:p>
    <w:p>
      <w:r>
        <w:br w:type="page"/>
      </w:r>
    </w:p>
    <w:p>
      <w:pPr>
        <w:spacing w:before="0" w:after="40"/>
      </w:pPr>
      <w:r>
        <w:rPr>
          <w:rFonts w:ascii="Calibri" w:hAnsi="Calibri"/>
          <w:b/>
          <w:color w:val="141414"/>
          <w:sz w:val="28"/>
        </w:rPr>
        <w:t>ESTRATEGIA DE CONTACTO: GRANT THORNTON ESPAÑA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PUNTOS CLAVE A DESARROLLAR EN EL PRIMER CONTACTO ──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1. La Apertura: </w:t>
      </w:r>
      <w:r>
        <w:rPr>
          <w:rFonts w:ascii="Calibri" w:hAnsi="Calibri"/>
          <w:color w:val="141414"/>
          <w:sz w:val="19"/>
        </w:rPr>
        <w:t>Presentar el mapa comparativo de KAMs (ISA 701) de cotizadas españolas procesado por ARGOS.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2. El Problema: </w:t>
      </w:r>
      <w:r>
        <w:rPr>
          <w:rFonts w:ascii="Calibri" w:hAnsi="Calibri"/>
          <w:color w:val="141414"/>
          <w:sz w:val="19"/>
        </w:rPr>
        <w:t>Falta de herramientas de consulta rápida sobre precedentes de auditoría en sectores específicos.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3. La Oferta: </w:t>
      </w:r>
      <w:r>
        <w:rPr>
          <w:rFonts w:ascii="Calibri" w:hAnsi="Calibri"/>
          <w:color w:val="141414"/>
          <w:sz w:val="19"/>
        </w:rPr>
        <w:t>Licencia piloto para el área de metodología contable y M&amp;A.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4. La Petición: </w:t>
      </w:r>
      <w:r>
        <w:rPr>
          <w:rFonts w:ascii="Calibri" w:hAnsi="Calibri"/>
          <w:color w:val="141414"/>
          <w:sz w:val="19"/>
        </w:rPr>
        <w:t>Feedback técnico y posible adopción corporativa.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5. El Cierre: </w:t>
      </w:r>
      <w:r>
        <w:rPr>
          <w:rFonts w:ascii="Calibri" w:hAnsi="Calibri"/>
          <w:color w:val="141414"/>
          <w:sz w:val="19"/>
        </w:rPr>
        <w:t>Demostración práctica sobre casos reales de BME Growth.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DATOS DE APOYO A MENCIONAR ──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Clasificación de riesgos contables en valoración, provisiones y fondo de comercio.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DIFICULTAD Y TIEMPO ESTIMADO ──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Nivel de dificultad: </w:t>
      </w:r>
      <w:r>
        <w:rPr>
          <w:rFonts w:ascii="Calibri" w:hAnsi="Calibri"/>
          <w:color w:val="141414"/>
          <w:sz w:val="19"/>
        </w:rPr>
        <w:t>Media-Alta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Tiempo hasta primera respuesta: </w:t>
      </w:r>
      <w:r>
        <w:rPr>
          <w:rFonts w:ascii="Calibri" w:hAnsi="Calibri"/>
          <w:color w:val="141414"/>
          <w:sz w:val="19"/>
        </w:rPr>
        <w:t>10 a 20 días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Tiempo hasta cierre / demo: </w:t>
      </w:r>
      <w:r>
        <w:rPr>
          <w:rFonts w:ascii="Calibri" w:hAnsi="Calibri"/>
          <w:color w:val="141414"/>
          <w:sz w:val="19"/>
        </w:rPr>
        <w:t>2 meses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808080"/>
        <w:sz w:val="16"/>
      </w:rPr>
      <w:t>Confidencial — Uso Interno Desarrollo de Negocio STATER 2.0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808080"/>
        <w:sz w:val="16"/>
      </w:rPr>
      <w:t>STATER MK · FICHA OPERATIVA DE CLIENTE POTENCIAL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