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RENTA 4 CORPORATE FINANCE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03. Auditoras y Boutiques M&amp;A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Institucional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División de finanzas corporativas de Renta 4 Banco, líder en colocaciones en BME Growth, ampliaciones de capital y asesoramiento en M&amp;A.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Análisis profundo de solvencia, colocación de emisiones y relación con inversores de cotizadas de pequeña capitalización.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Contacto directo a través de la relación institucional con Renta 4 Banco.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Lanzamiento de nuevas colocaciones o informes de mercado de Renta 4.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descoordinar el contacto con las conversaciones del área de brokerage/banco.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Enterprise: </w:t>
      </w:r>
      <w:r>
        <w:rPr>
          <w:rFonts w:ascii="Calibri" w:hAnsi="Calibri"/>
          <w:color w:val="141414"/>
          <w:sz w:val="19"/>
        </w:rPr>
        <w:t>Plataforma completa de análisis de emisores y mercado.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Portal Emisor Integrado: </w:t>
      </w:r>
      <w:r>
        <w:rPr>
          <w:rFonts w:ascii="Calibri" w:hAnsi="Calibri"/>
          <w:color w:val="141414"/>
          <w:sz w:val="19"/>
        </w:rPr>
        <w:t>Herramienta para sus clientes de corporate finance.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RENTA 4 CORPORATE FINANCE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Vincular la capacidad analítica de ARGOS con su liderazgo en el asesoramiento a empresas de BME Growth.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Necesidad de herramientas modernas de visibilidad e información para las pymes que colocan en mercado.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Integración de ARGOS como herramienta analítica complementaria.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Alianza institucional y canal de prescripción.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Reunión de coordinación con los directores de área.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Sinérgica con la propuesta de microcuentas de retail para Renta 4 Banco.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Media-Alta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15 a 20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2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