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VGM ADVISORY PARTNERS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03. Auditoras y Boutiques M&amp;A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Estratégico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Boutique de asesoramiento financiero especializada en fusiones y adquisiciones (M&amp;A), reestructuraciones y salidas a BME Growth.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Due diligence ágil de empresas objetivo y benchmarking de rentabilidad operativa en operaciones corporativas.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corporativo / LinkedIn a socios fundadores.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operaciones de M&amp;A en el mercado mediano español.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proponer contratos rígidos; buscan herramientas ágiles por proyecto o suscripción anual flexible.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Pro M&amp;A Suite: </w:t>
      </w:r>
      <w:r>
        <w:rPr>
          <w:rFonts w:ascii="Calibri" w:hAnsi="Calibri"/>
          <w:color w:val="141414"/>
          <w:sz w:val="19"/>
        </w:rPr>
        <w:t>Informes consolidados de balances y solvencia histórica.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Parquet: </w:t>
      </w:r>
      <w:r>
        <w:rPr>
          <w:rFonts w:ascii="Calibri" w:hAnsi="Calibri"/>
          <w:color w:val="141414"/>
          <w:sz w:val="19"/>
        </w:rPr>
        <w:t>Extracción masiva para modelos de LBO / M&amp;A.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VGM ADVISORY PARTNERS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la descarga instantánea de 5 años de histórico contable normalizado de cualquier cotizada española.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Tiempo perdido en consolidar manualmente balances de los registros oficiales.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piloto de 6 meses para su equipo de analistas.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sobre la integración con sus modelos financieros.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credenciales de acceso.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Histórico de 5 años con desglose de flujos de caja y notas de balance.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mes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