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UNIVERSIDAD CARLOS III DE MADRID (UC3M) — DPTO. ECONOMÍA DE LA EMPRESA</w:t>
      </w:r>
    </w:p>
    <w:p>
      <w:pPr>
        <w:spacing w:before="0" w:after="160"/>
      </w:pPr>
      <w:r>
        <w:rPr>
          <w:rFonts w:ascii="Calibri" w:hAnsi="Calibri"/>
          <w:b/>
          <w:sz w:val="19"/>
        </w:rPr>
        <w:t xml:space="preserve">Categoría: </w:t>
      </w:r>
      <w:r>
        <w:rPr>
          <w:rFonts w:ascii="Calibri" w:hAnsi="Calibri"/>
          <w:sz w:val="19"/>
        </w:rPr>
        <w:t xml:space="preserve">04. Universidades y Centros de Investigación  |  </w:t>
      </w:r>
      <w:r>
        <w:rPr>
          <w:rFonts w:ascii="Calibri" w:hAnsi="Calibri"/>
          <w:b/>
          <w:sz w:val="19"/>
        </w:rPr>
        <w:t xml:space="preserve">Modo de ataque: </w:t>
      </w:r>
      <w:r>
        <w:rPr>
          <w:rFonts w:ascii="Calibri" w:hAnsi="Calibri"/>
          <w:sz w:val="19"/>
        </w:rPr>
        <w:t>1:1 Académico / Cuantitativo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PERFIL DE LA EMPRESA / ORGANIZACIÓN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Centro de excelencia internacional en finanzas cuantitativas, econometría y economía de la empresa. Programas de Máster en Finanzas Cuantitativas y Finanzas Corporativas de alto prestigio.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POSIBLE INTERÉS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Demanda de series temporales limpias y estructuradas de estados financieros y factores de riesgo para tesis doctorales y modelos cuantitativos de valoración de activos.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MÉTODO MÁS CERTERO DE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Canal principal: </w:t>
      </w:r>
      <w:r>
        <w:rPr>
          <w:rFonts w:ascii="Calibri" w:hAnsi="Calibri"/>
          <w:color w:val="141414"/>
          <w:sz w:val="19"/>
        </w:rPr>
        <w:t>Email académico formal a directores de máster o catedráticos del área de finanzas.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Momento / excusa legítima: </w:t>
      </w:r>
      <w:r>
        <w:rPr>
          <w:rFonts w:ascii="Calibri" w:hAnsi="Calibri"/>
          <w:color w:val="141414"/>
          <w:sz w:val="19"/>
        </w:rPr>
        <w:t>Convocatorias de proyectos de investigación nacionales/europeos o asignación de TFMs.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Errores a evitar con este perfil: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No omitir la compatibilidad con herramientas de análisis estadístico (Python, R, Parquet).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PRODUCTOS QUE SATISFACEN SU NECESIDAD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ARGOS Datasets Parquet: </w:t>
      </w:r>
      <w:r>
        <w:rPr>
          <w:rFonts w:ascii="Calibri" w:hAnsi="Calibri"/>
          <w:color w:val="141414"/>
          <w:sz w:val="19"/>
        </w:rPr>
        <w:t>Series históricas normalizadas listas para análisis vectorial.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Convenio de Investigación: </w:t>
      </w:r>
      <w:r>
        <w:rPr>
          <w:rFonts w:ascii="Calibri" w:hAnsi="Calibri"/>
          <w:color w:val="141414"/>
          <w:sz w:val="19"/>
        </w:rPr>
        <w:t>Colaboración en papers de finanzas cuantitativas.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ESTRATEGIA DE CONTACTO: UNIVERSIDAD CARLOS III DE MADRID (UC3M) — DPTO. ECONOMÍA DE LA EMPRESA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PUNTOS CLAVE A DESARROLLAR EN EL PRIMER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1. La Apertura: </w:t>
      </w:r>
      <w:r>
        <w:rPr>
          <w:rFonts w:ascii="Calibri" w:hAnsi="Calibri"/>
          <w:color w:val="141414"/>
          <w:sz w:val="19"/>
        </w:rPr>
        <w:t>Compartir la metodología de normalización determinista y mitigación de sesgos de supervivencia de ARGOS.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2. El Problema: </w:t>
      </w:r>
      <w:r>
        <w:rPr>
          <w:rFonts w:ascii="Calibri" w:hAnsi="Calibri"/>
          <w:color w:val="141414"/>
          <w:sz w:val="19"/>
        </w:rPr>
        <w:t>Tiempo excesivo dedicado por investigadores a limpiar datos brutos de repositorios oficiales.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3. La Oferta: </w:t>
      </w:r>
      <w:r>
        <w:rPr>
          <w:rFonts w:ascii="Calibri" w:hAnsi="Calibri"/>
          <w:color w:val="141414"/>
          <w:sz w:val="19"/>
        </w:rPr>
        <w:t>Licencia académica gratuita para grupos de investigación seleccionados.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4. La Petición: </w:t>
      </w:r>
      <w:r>
        <w:rPr>
          <w:rFonts w:ascii="Calibri" w:hAnsi="Calibri"/>
          <w:color w:val="141414"/>
          <w:sz w:val="19"/>
        </w:rPr>
        <w:t>Citas académicas a STATER/ARGOS en los papers resultantes y feedback metodológico.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5. El Cierre: </w:t>
      </w:r>
      <w:r>
        <w:rPr>
          <w:rFonts w:ascii="Calibri" w:hAnsi="Calibri"/>
          <w:color w:val="141414"/>
          <w:sz w:val="19"/>
        </w:rPr>
        <w:t>Envío de muestra del dataset en Parquet con notebook de replicación.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DATOS DE APOYO A MENCIONAR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Formatos optimizados para procesamiento en Python, DuckDB y R.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DIFICULTAD Y TIEMPO ESTIMADO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Nivel de dificultad: </w:t>
      </w:r>
      <w:r>
        <w:rPr>
          <w:rFonts w:ascii="Calibri" w:hAnsi="Calibri"/>
          <w:color w:val="141414"/>
          <w:sz w:val="19"/>
        </w:rPr>
        <w:t>Baja-Media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primera respuesta: </w:t>
      </w:r>
      <w:r>
        <w:rPr>
          <w:rFonts w:ascii="Calibri" w:hAnsi="Calibri"/>
          <w:color w:val="141414"/>
          <w:sz w:val="19"/>
        </w:rPr>
        <w:t>7 a 14 días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cierre / demo: </w:t>
      </w:r>
      <w:r>
        <w:rPr>
          <w:rFonts w:ascii="Calibri" w:hAnsi="Calibri"/>
          <w:color w:val="141414"/>
          <w:sz w:val="19"/>
        </w:rPr>
        <w:t>1 mes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808080"/>
        <w:sz w:val="16"/>
      </w:rPr>
      <w:t>Confidencial — Uso Interno Desarrollo de Negocio STATER 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6"/>
      </w:rPr>
      <w:t>STATER MK · FICHA OPERATIVA DE CLIENTE POTENCIAL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