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STATER 2.0 · MAPA OPERATIVO DE CLIENTES POTENCIALES REALES</w:t>
      </w:r>
    </w:p>
    <w:p>
      <w:pPr>
        <w:spacing w:before="0" w:after="200"/>
      </w:pPr>
      <w:r>
        <w:rPr>
          <w:rFonts w:ascii="Segoe UI" w:hAnsi="Segoe UI"/>
          <w:b/>
          <w:color w:val="134074"/>
          <w:sz w:val="22"/>
        </w:rPr>
        <w:t>Perfiles Concretos, Nombres Identificados, Estrategia de Prospección y Ecuación de Intercambio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20" w:type="dxa"/>
              <w:bottom w:w="120" w:type="dxa"/>
              <w:left w:w="180" w:type="dxa"/>
              <w:right w:w="16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RESUMEN EJECUTIVO DE PROSPECCIÓN B2B</w:t>
              <w:br/>
            </w:r>
            <w:r>
              <w:rPr>
                <w:rFonts w:ascii="Segoe UI" w:hAnsi="Segoe UI"/>
                <w:color w:val="1F2937"/>
                <w:sz w:val="18"/>
              </w:rPr>
              <w:t>Objetivo del Plan: Mapear con nombres reales y arquetipos precisos el universo institucional accesible para STATER / ARGOS.</w:t>
              <w:br/>
              <w:t>Estrategia de Intercambio: Acceso de por vida (Founder Partner) a los 5 primeros clientes institucionales y 6-12 meses para los 20 siguientes.</w:t>
              <w:br/>
              <w:t>Capacidad de Ejecución: 3 a 5 contactos hiperpersonalizados por semana con optimización previa de perfil institucional.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6"/>
        </w:rPr>
        <w:t>1. Estimación del Universo Total de Clientes Institucionales (TAM / SAM / SOM)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Para responder con precisión matemática a la pregunta de cuántas entidades pueden interesarse por el producto institucional de ARGOS e Intrinsic Value, desglosamos el mercado en tres niveles de análisis: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/>
          <w:cantSplit/>
        </w:trPr>
        <w:tc>
          <w:tcPr>
            <w:tcW w:type="dxa" w:w="3456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Segmento de Mercado</w:t>
            </w:r>
          </w:p>
        </w:tc>
        <w:tc>
          <w:tcPr>
            <w:tcW w:type="dxa" w:w="2304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TAM (Total Europa)</w:t>
            </w:r>
          </w:p>
        </w:tc>
        <w:tc>
          <w:tcPr>
            <w:tcW w:type="dxa" w:w="2592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SAM (España + 4 Países Clave)</w:t>
            </w:r>
          </w:p>
        </w:tc>
        <w:tc>
          <w:tcPr>
            <w:tcW w:type="dxa" w:w="2016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SOM (Objetivo Fase 1-2 España)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Gestoras Independientes &amp; Boutiques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3.200+ firmas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~450 firmas (120 en España)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15 – 25 gestoras piloto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Empresas de Asesoramiento Financiero (EAFs)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2.800+ entidades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~600 entidades (170 registradas CNMV)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20 – 30 EAFs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Family Offices (Single &amp; Multi-Family)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4.500+ estructuras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~850 family offices (350 en España)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10 – 15 family offices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Auditoras Medianas &amp; Boutiques M&amp;A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1.800+ firmas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~350 firmas (80 en España)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10 – 15 despachos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Universidades (Facultades Econ/Finanzas)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650+ universidades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~180 facultades (55 en España)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3 – 5 acuerdos de cátedra/TFM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Fintechs &amp; Desarrolladores Quants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1.500+ startups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~400 fintechs (120 en España)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10 – 20 licencias API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Pymes Cotizadas (Growth / Scaleup)</w:t>
            </w:r>
          </w:p>
        </w:tc>
        <w:tc>
          <w:tcPr>
            <w:tcW w:type="dxa" w:w="230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2.400+ cotizadas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~650 cotizadas (140 BME Growth/Scale)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15 – 25 empresas emisor</w:t>
            </w:r>
          </w:p>
        </w:tc>
      </w:tr>
      <w:tr>
        <w:trPr>
          <w:cantSplit/>
        </w:trPr>
        <w:tc>
          <w:tcPr>
            <w:tcW w:type="dxa" w:w="345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TOTAL UNIVERSO POTENCIAL</w:t>
            </w:r>
          </w:p>
        </w:tc>
        <w:tc>
          <w:tcPr>
            <w:tcW w:type="dxa" w:w="230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16.850+ organizaciones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~3.480 entidades cualificadas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88 – 145 clientes accesibles</w:t>
            </w:r>
          </w:p>
        </w:tc>
      </w:tr>
    </w:tbl>
    <w:p>
      <w:pPr>
        <w:spacing w:after="80"/>
      </w:pP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Conclusión del Mercado Accesible (SOM): En España existe un mercado inmediato de más de 350 entidades institucionales independientes que carecen de presupuestos para terminales de 40.000 €/año pero necesitan datos ESEF normalizados y análisis de auditoría (KAM). Capturar apenas el 5% de este SOM (18 clientes) garantiza más de 50.000 € de ARR en fase inicial.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6"/>
        </w:rPr>
        <w:t>2. Fichas Operativas por Categoría de Cliente Potencial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1: GESTORAS BOUTIQUE Y EAFs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1:1 Hiperpersonalizado (Outreach artesanal por LinkedIn y correo corporativo).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Horos Asset Management: </w:t>
      </w:r>
      <w:r>
        <w:rPr>
          <w:rFonts w:ascii="Segoe UI" w:hAnsi="Segoe UI"/>
          <w:color w:val="1F2937"/>
          <w:sz w:val="19"/>
        </w:rPr>
        <w:t>Javier Ruiz / Alejandro Martín (Directores de Inversiones). Especializada en micro y small caps europeas con análisis exhaustivo de balances. ~100M€ AUM.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Magallanes Value Investors: </w:t>
      </w:r>
      <w:r>
        <w:rPr>
          <w:rFonts w:ascii="Segoe UI" w:hAnsi="Segoe UI"/>
          <w:color w:val="1F2937"/>
          <w:sz w:val="19"/>
        </w:rPr>
        <w:t>Iván Martín (Director de Inversiones). Referente en Value investing europeo. Buscan ventajas competitivas y anomalías contables en medianas empresas. ~1.500M€ AUM.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True Value Investments: </w:t>
      </w:r>
      <w:r>
        <w:rPr>
          <w:rFonts w:ascii="Segoe UI" w:hAnsi="Segoe UI"/>
          <w:color w:val="1F2937"/>
          <w:sz w:val="19"/>
        </w:rPr>
        <w:t>Alejandro Estebaranz / José Luis Benito. Especializada en empresas de pequeña capitalización de alta calidad en Europa y EE.UU.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Kau Markets EAF (Zonavalue): </w:t>
      </w:r>
      <w:r>
        <w:rPr>
          <w:rFonts w:ascii="Segoe UI" w:hAnsi="Segoe UI"/>
          <w:color w:val="1F2937"/>
          <w:sz w:val="19"/>
        </w:rPr>
        <w:t>Lorenzo Serratosa / José Iván García (Valencia). EAF con fuerte perfil cuantitativo, algorítmico y de selección fundamental sistemática.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Nextep Finance EAF: </w:t>
      </w:r>
      <w:r>
        <w:rPr>
          <w:rFonts w:ascii="Segoe UI" w:hAnsi="Segoe UI"/>
          <w:color w:val="1F2937"/>
          <w:sz w:val="19"/>
        </w:rPr>
        <w:t>Víctor Alvargonzález (Madrid). Asesoramiento patrimonial independiente sin comisión bancaria de colocación.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LinkedIn InMail del Founder tras optimización de perfil + Email directo a la dirección de análisis/inversiones.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Publicación de los resultados anuales ESEF de una small cap europea que tengan en cartera, enviándoles un micro-informe de KAMs extraídos automáticamente por ARGOS que ellos no tenían estructurados.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No enviar un pitch de venta genérico. No intentar enseñarles a invertir (ellos saben más que nadie de su tesis). Centrarse únicamente en el ahorro de horas de análisis de datos y la detección de riesgos en notas de auditoría.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Central):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"Hemos desarrollado un motor (ARGOS) que estandariza los filings ESEF/XBRL y extrae las cuestiones clave de auditoría (KAM ISA 701) de cotizadas europeas con hash SHA-256. Siguiendo vuestra cartera en [Empresa X], hemos procesado sus últimas notas contables. Buscamos a 5 gestoras de referencia en small caps para validar la herramienta con acceso institucional fundador de por vida a cambio de vuestro feedback técnico."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Ahorro de más del 70% del tiempo de modelización de balances en Small Caps europeas y alertas tempranas de contingencias contables (KAM) a coste cero (Founder Account).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NOS LLEVAMOS NOSOTROS: Validación metodológica con gestores top tier, feedback para pulir el producto, testimonio público y caso de estudio de adopción.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Media-Alta. Tiempo hasta primera respuesta: 7 a 14 días. Tiempo hasta cierre/demo: 3 a 4 semanas.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2: FAMILY OFFICES Y VEHÍCULOS DE PATRIMONIO FAMILIAR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1:1 Institucional de Alta Confianza (Enfoque en preservación de capital y gobernanza).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MdF Family Partners: </w:t>
      </w:r>
      <w:r>
        <w:rPr>
          <w:rFonts w:ascii="Segoe UI" w:hAnsi="Segoe UI"/>
          <w:color w:val="1F2937"/>
          <w:sz w:val="19"/>
        </w:rPr>
        <w:t>Daniel de Fernando / Javier de Muguiro (Madrid/Barcelona). El mayor multi-family office independiente de España, gestionando grandes patrimonios con arquitectura abierta.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Family Offices Industriales de Levante (ej. Entorno Grupo Fuertes / Disfrimur Inversiones): </w:t>
      </w:r>
      <w:r>
        <w:rPr>
          <w:rFonts w:ascii="Segoe UI" w:hAnsi="Segoe UI"/>
          <w:color w:val="1F2937"/>
          <w:sz w:val="19"/>
        </w:rPr>
        <w:t>Dirección de Inversiones / Patrimonios Familiares. Vehículos patrimoniales de grupos industriales de la Región de Murcia y Levante (holding de alimentación, transporte y renovables).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Arquetipo Multi-Family Office Mediano (Madrid / Cataluña / Valencia): </w:t>
      </w:r>
      <w:r>
        <w:rPr>
          <w:rFonts w:ascii="Segoe UI" w:hAnsi="Segoe UI"/>
          <w:color w:val="1F2937"/>
          <w:sz w:val="19"/>
        </w:rPr>
        <w:t>Patrimonios industriales y familiares con 20M–100M€ bajo gestión que invierten directamente en cotizadas europeas y carecen de un equipo de 10 analistas internos.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Presentación formal vía email ejecutivo al Director de Inversiones (CIO) / Family Officer o recomendación por contacto profesional.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Entrada en vigor de nuevas obligaciones de reporte de sostenibilidad (CSRD) o presentación de análisis de riesgo patrimonial en cotizadas españolas/europeas.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No hablar de trading intradía ni rentabilidades a corto plazo. Su obsesión es la preservación, la solvencia (Altman Z-Score) y evitar fraudes contables.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Central):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"Las exigencias de debida diligencia documental y reporte ESG bajo directivas europeas exigen una trazabilidad inatacable. ARGOS consolida la verdad contable y de auditoría de las cotizadas europeas sin estimaciones opacas, anclando cada cifra a la fuente oficial. Queremos mostrarles cómo blindar el análisis de solvencia de sus posiciones directas con datos brutos estructurados."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Due diligence contable y de gobernanza de nivel auditoría para sus inversiones directas, sin pagar licencias de 40k€ en terminales que no utilizan al 100%.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NOS LLEVAMOS NOSOTROS: Contrato de suscripción de alto margen (10k–25k €/año) o validación como cliente de referencia en el segmento de grandes patrimonios.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Alta. Tiempo hasta primera respuesta: 15 a 30 días. Tiempo hasta cierre: 2 a 3 meses.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3: AUDITORAS MEDIANAS Y BOUTIQUES DE M&amp;A / CORPORATE FINANCE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Híbrido (1:1 con socios de área + Demostraciones técnicas de extracción de KAMs).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Armanext: </w:t>
      </w:r>
      <w:r>
        <w:rPr>
          <w:rFonts w:ascii="Segoe UI" w:hAnsi="Segoe UI"/>
          <w:color w:val="1F2937"/>
          <w:sz w:val="19"/>
        </w:rPr>
        <w:t>Antonio Fernández (Presidente). Asesor Registrado y Listing Sponsor líder en BME Growth y Euronext para incorporación de pymes a bolsa.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BDO Spain / Grant Thornton España / Forvis Mazars: </w:t>
      </w:r>
      <w:r>
        <w:rPr>
          <w:rFonts w:ascii="Segoe UI" w:hAnsi="Segoe UI"/>
          <w:color w:val="1F2937"/>
          <w:sz w:val="19"/>
        </w:rPr>
        <w:t>Socios de Auditoría y Sostenibilidad (Madrid, Valencia, Murcia). Firmas líderes en auditoría de medianas empresas que necesitan herramientas para la avalancha regulatoria CSRD.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Fellow Funders / VGM Advisory Partners / Renta 4 Corporate: </w:t>
      </w:r>
      <w:r>
        <w:rPr>
          <w:rFonts w:ascii="Segoe UI" w:hAnsi="Segoe UI"/>
          <w:color w:val="1F2937"/>
          <w:sz w:val="19"/>
        </w:rPr>
        <w:t>Boutique especializada en salidas a BME Growth, rondas de financiación y due diligence contable de pymes.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LinkedIn conectando con Socios de Auditoría / M&amp;A o Responsables de Práctica de Sostenibilidad.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Publicación de la transposición de la directiva CSRD o incorporación de nuevas empresas a BME Scaleup.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No presentarse como una firma auditora competidora. STATER no emite informes de aseguramiento legal; entrega la herramienta de datos estructurados que ahorra tiempo a sus propios auditores.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Central):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"Hemos construido un extractor especializado que procesa automáticamente memorias ESEF y clasifica cuestiones clave de auditoría (ISA 701) y datapoints ESRS de sostenibilidad. Queremos ofrecer a vuestro equipo de Corporate Finance / Auditoría una herramienta que automatiza el benchmarking sectorial de vuestros clientes cotizados en minutos."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Aceleración drástica del proceso de due diligence y benchmarking contable/ESG para sus clientes corporativos.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NOS LLEVAMOS NOSOTROS: Licencias corporativas anuales y canal de prescripción hacia las empresas cotizadas que ellos asesoran.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Media. Tiempo hasta primera respuesta: 10 a 20 días. Tiempo hasta cierre: 1 a 2 meses.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4: UNIVERSIDADES Y DEPARTAMENTOS DE INVESTIGACIÓN (CANAL DE PRIORIDAD 1)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1:1 Académico de Cercanía (Alianza de investigación, docencia y cantera).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Universidad de Murcia (UMU): </w:t>
      </w:r>
      <w:r>
        <w:rPr>
          <w:rFonts w:ascii="Segoe UI" w:hAnsi="Segoe UI"/>
          <w:color w:val="1F2937"/>
          <w:sz w:val="19"/>
        </w:rPr>
        <w:t>Dpto. de Economía Financiera y Contabilidad / Cátedra de RSC / Grupo de Investigación en Contabilidad y Finanzas. Prioridad absoluta por cercanía y conocimiento directo del ecosistema institucional.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Universidad Carlos III de Madrid (UC3M): </w:t>
      </w:r>
      <w:r>
        <w:rPr>
          <w:rFonts w:ascii="Segoe UI" w:hAnsi="Segoe UI"/>
          <w:color w:val="1F2937"/>
          <w:sz w:val="19"/>
        </w:rPr>
        <w:t>Dpto. de Economía de la Empresa / Máster en Finanzas Cuantitativas. Centro de referencia en investigación financiera cuantitativa.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Universitat de València (UV): </w:t>
      </w:r>
      <w:r>
        <w:rPr>
          <w:rFonts w:ascii="Segoe UI" w:hAnsi="Segoe UI"/>
          <w:color w:val="1F2937"/>
          <w:sz w:val="19"/>
        </w:rPr>
        <w:t>Dpto. de Finanzas y Contabilidad. Fuerte tradición en investigación contable, XBRL y transparencia de mercados.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Reunión presencial directa en el despacho del Director de Departamento o Catedrático / Correo institucional formal.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Inicio del curso académico / Propuesta formal de temas de investigación para Trabajos de Fin de Máster (TFM) y Grado (TFG) sobre datos ESEF y KAMs.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No plantearlo como una venta comercial desde el minuto uno. Es una colaboración de investigación y cesión de tecnología docente.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Central):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"Hemos desarrollado una infraestructura tecnológica (ARGOS) con el dataset normalizado más completo de estados financieros ESEF, KAMs y métricas ESG de cotizadas españolas y europeas. Queremos ceder este dataset de forma gratuita al departamento para proyectos de investigación, codirección de TFMs/TFGs y desarrollo de cátedras conjuntas, facilitando que los alumnos trabajen con datos reales de mercado."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Acceso a datasets estructurados de investigación sin coste para sus profesores y alumnos, elevando el impacto de sus publicaciones científicas y tesis.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NOS LLEVAMOS NOSOTROS: Prestigio y validación académica inatacable, coautoría en papers de impacto, y alumnos supervisados que actúan como equipo de aseguramiento de calidad (QA) de los datos.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Muy Baja (Fricción mínima). Tiempo hasta primera reunión: 3 a 7 días. Tiempo hasta convenio: 2 a 4 semanas.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5: FINTECHS Y COMUNIDADES DE DESARROLLADORES / QUANTS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Masivo / Técnico (Documentación abierta, repositorios GitHub, Discord y foros especializados).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Fintechs Españolas en Crecimiento: </w:t>
      </w:r>
      <w:r>
        <w:rPr>
          <w:rFonts w:ascii="Segoe UI" w:hAnsi="Segoe UI"/>
          <w:color w:val="1F2937"/>
          <w:sz w:val="19"/>
        </w:rPr>
        <w:t>Indexa Capital / Micappital / HeyTrade (Madrid). Startups financieras que demandan datos limpios y automatización de procesos.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Comunidades Quants y Devs: </w:t>
      </w:r>
      <w:r>
        <w:rPr>
          <w:rFonts w:ascii="Segoe UI" w:hAnsi="Segoe UI"/>
          <w:color w:val="1F2937"/>
          <w:sz w:val="19"/>
        </w:rPr>
        <w:t>Capítulos de Python España, PyData Madrid/Barcelona, canal de Discord de desarrollo algorítmico y subreddits especializados (r/SpainFinance, r/algotrading).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Arquetipo Desarrollador Financiero Independiente: </w:t>
      </w:r>
      <w:r>
        <w:rPr>
          <w:rFonts w:ascii="Segoe UI" w:hAnsi="Segoe UI"/>
          <w:color w:val="1F2937"/>
          <w:sz w:val="19"/>
        </w:rPr>
        <w:t>Desarrolladores independientes que crean herramientas de screening, bots de Telegram o backtesting propio y se topan con el muro de scrapear PDFs.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Publicación de librerías open source en GitHub con conectores API gratuitos / Posts técnicos en LinkedIn y comunidades.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Lanzamiento del "Desafío Cuantitativo 7 Días" con plantillas listas en Google Colab.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No enviar textos comerciales. Los desarrolladores solo responden a código limpio, APIs bien documentadas en Swagger/OpenAPI y datos fiables.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Central):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"¿Cansado de scrapear PDFs de la CNMV o lidiar con discrepancias en Yahoo Finance? Hemos empaquetado los filings ESEF/XBRL y KAMs de cotizadas europeas en una API REST limpia y en datasets Parquet. Te damos acceso sandbox gratuito para tus proyectos personales."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Ahorro de meses de desarrollo de pipelines de datos y acceso a una API profesional con endpoints documentados.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NOS LLEVAMOS NOSOTROS: Efecto red masivo, adopción técnica orgánica, conversión a tiers de pago API y captación de talento quant para el ecosistema.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Baja-Media. Tiempo hasta primer uso: Inmediato (autoservicio API). Tiempo hasta monetización: 1 a 3 meses.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6: PYMES COTIZADAS EUROPEAS (PORTAL EMISOR / SMALL &amp; MID CAPS)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1:1 Corporativo (Invitación directa a su Dirección Financiera / Investor Relations).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Sector Tecnología BME Growth: </w:t>
      </w:r>
      <w:r>
        <w:rPr>
          <w:rFonts w:ascii="Segoe UI" w:hAnsi="Segoe UI"/>
          <w:color w:val="1F2937"/>
          <w:sz w:val="19"/>
        </w:rPr>
        <w:t>Cuatroochenta (480) (Castellón/Madrid - Software y ciberseguridad), Agile Content (Streaming y media tech), Gigas Hosting (Cloud telecom), Making Science (Consultoría digital).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Sector Salud / Biotech BME Growth: </w:t>
      </w:r>
      <w:r>
        <w:rPr>
          <w:rFonts w:ascii="Segoe UI" w:hAnsi="Segoe UI"/>
          <w:color w:val="1F2937"/>
          <w:sz w:val="19"/>
        </w:rPr>
        <w:t>Atrys Health (Diagnóstico y medicina de precisión), Oryzon Genomics (Biofarmacéutica), Pangaea Oncology.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Pymes Cotizadas en Euronext Growth: </w:t>
      </w:r>
      <w:r>
        <w:rPr>
          <w:rFonts w:ascii="Segoe UI" w:hAnsi="Segoe UI"/>
          <w:color w:val="1F2937"/>
          <w:sz w:val="19"/>
        </w:rPr>
        <w:t>Euronext Growth París / Milán / Ámsterdam (Pymes industriales y tecnológicas con baja cobertura de analistas).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Email directo al Director Financiero (CFO) o Responsable de Relación con Inversores (IR) / LinkedIn corporativo.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Presentación de resultados semestrales o cambio de segmento bursátil.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Garantizar la independencia editorial: dejar claro que no pueden pagar por modificar su puntuación algorítmica ni sus datos contables públicos.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Central):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"Hemos integrado a [Nombre Empresa] en la base de datos europea de ARGOS. Queremos habilitarles su acceso gratuito al Portal Emisor para que auditen cómo se estructuran sus métricas contables y comparen su rendimiento frente a competidores de Euronext, ofreciéndoles una sala privada para invitar a inversores institucionales a conocer su tesis con datos normalizados."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Benchmarking europeo automático frente a su sector y una herramienta profesional de visibilidad ante inversores institucionales a coste marginal.</w:t>
      </w:r>
    </w:p>
    <w:p>
      <w:pPr>
        <w:spacing w:after="80" w:before="0" w:line="276" w:lineRule="auto"/>
      </w:pPr>
      <w:r>
        <w:t>QUÉ NOS LLEVAMOS NOSOTROS: Suscripción al Portal Emisor (400 €/año) y legitimidad al contar con la cotizada validando su propio perfil.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Media. Tiempo hasta primera respuesta: 10 a 20 días. Tiempo hasta cierre: 1 a 2 meses.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7: BROKERS Y PROVEEDORES DE HERRAMIENTAS (AFILIACIÓN ÉTICA)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Institucional / Partnership Estratégico 1:1.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Renta 4 Banco (Foco de Alianza Prioritaria): </w:t>
      </w:r>
      <w:r>
        <w:rPr>
          <w:rFonts w:ascii="Segoe UI" w:hAnsi="Segoe UI"/>
          <w:color w:val="1F2937"/>
          <w:sz w:val="19"/>
        </w:rPr>
        <w:t>Juan Carlos Ureta (Presidente) / Responsable de Alianzas Digitales. La entidad nacional de referencia en renta variable con red física y tecnológica consolidada.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Brokers Internacionales Regulados MiFID II: </w:t>
      </w:r>
      <w:r>
        <w:rPr>
          <w:rFonts w:ascii="Segoe UI" w:hAnsi="Segoe UI"/>
          <w:color w:val="1F2937"/>
          <w:sz w:val="19"/>
        </w:rPr>
        <w:t>Interactive Brokers (IBKR - Líder global en bajas comisiones y cobertura multi-mercado), DEGIRO (flatexDEGIRO - Inversión retail masiva en acciones y ETFs), Scalable Capital (Broker de planes de ahorro automatizados).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TradingView: </w:t>
      </w:r>
      <w:r>
        <w:rPr>
          <w:rFonts w:ascii="Segoe UI" w:hAnsi="Segoe UI"/>
          <w:color w:val="1F2937"/>
          <w:sz w:val="19"/>
        </w:rPr>
        <w:t>Programa de Afiliados oficial (30% recurrente de suscripciones referenciadas).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Para Renta 4: Contacto directo con su departamento de desarrollo de negocio digital / red comercial. Para brokers internacionales: Plataformas oficiales de partnership institucional y redes de afiliados financieras.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Presentación de la masa crítica de usuarios y alumnos formados en Luminic Finance buscando canal de ejecución seguro.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No solicitar acuerdos con brokers no regulados o chiringuitos financieros de CFDs apalancados. La seguridad del usuario es innegociable.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Específico para Renta 4 Banco):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"STATER forma a una nueva generación de inversores conscientes que operan con análisis fundamental y datos de calidad. Queremos proponer a Renta 4 Banco un acuerdo preferente: ser nuestro canal de ejecución recomendado en España mediante una línea directa de comisiones ajustadas para pequeños inversores retail con capitales de 1.000 a 2.000 €, canalizando usuarios altamente educados y de largo plazo hacia vuestra entidad."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Captación de clientes jóvenes y cualificados con perfil inversor de calidad y baja rotación, reduciendo su coste de adquisición (CAC).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NOS LLEVAMOS NOSOTROS: Comisión por cuenta activa cualificada (50–150 €) y el prestigio de asociar STATER a la entidad bancaria especializada líder en bolsa en España.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Para brokers online: Baja (Inmediato). Para acuerdo a medida con Renta 4 Banco: Media-Alta (1 a 3 meses de negociación corporativa).</w:t>
      </w: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CATEGORÍA 8: CREADORES DE CONTENIDO TÉCNICO Y FINFLUENCERS SELECTOS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MODO DE ATAQUE: Relación 1:1 Basada en Respeto Intelectual y Boca a Boca Cualificado.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CASOS / PERFILES CONCRETOS IDENTIFICADOS: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Finfluencers Financieros Rigurosos: </w:t>
      </w:r>
      <w:r>
        <w:rPr>
          <w:rFonts w:ascii="Segoe UI" w:hAnsi="Segoe UI"/>
          <w:color w:val="1F2937"/>
          <w:sz w:val="19"/>
        </w:rPr>
        <w:t>Alejandro Estebaranz (El Arte de Invertir - Referente en análisis fundamental y tesis profundas), Fran Miró (Análisis técnico/cuantitativo y plataformas), Héctor Chamizo (Periodista financiero y divulgador institucional), Natalia de Santiago (Finanzas claras y accesibles).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Creadores de Contenido Técnico y Python: </w:t>
      </w:r>
      <w:r>
        <w:rPr>
          <w:rFonts w:ascii="Segoe UI" w:hAnsi="Segoe UI"/>
          <w:color w:val="1F2937"/>
          <w:sz w:val="19"/>
        </w:rPr>
        <w:t>Jesús Lage (Python para Finanzas), Rafa González Gouveia (Data Science), canales especializados en algoritmia y modelización de balances.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CÓMO CONTACTAR DE FORMA INTELIGENTE: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Canal principal: </w:t>
      </w:r>
      <w:r>
        <w:rPr>
          <w:rFonts w:ascii="Segoe UI" w:hAnsi="Segoe UI"/>
          <w:color w:val="1F2937"/>
          <w:sz w:val="19"/>
        </w:rPr>
        <w:t>Mensaje directo personal por X (Twitter), LinkedIn o correo de colaboraciones profesionales.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Momento / Excusa legítima: </w:t>
      </w:r>
      <w:r>
        <w:rPr>
          <w:rFonts w:ascii="Segoe UI" w:hAnsi="Segoe UI"/>
          <w:color w:val="1F2937"/>
          <w:sz w:val="19"/>
        </w:rPr>
        <w:t>Aportarles un dato exclusivo o gráfico generado con ARGOS sobre una empresa que ellos hayan analizado recientemente en sus canales.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Errores a evitar: </w:t>
      </w:r>
      <w:r>
        <w:rPr>
          <w:rFonts w:ascii="Segoe UI" w:hAnsi="Segoe UI"/>
          <w:color w:val="1F2937"/>
          <w:sz w:val="19"/>
        </w:rPr>
        <w:t>No ofrecerles enlaces de afiliación opacos ni pedirles que promocionen una plataforma vacía. Primero dar valor sin pedir nada.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LE DECIMOS (Mensaje Central):</w:t>
      </w:r>
    </w:p>
    <w:p>
      <w:pPr>
        <w:spacing w:after="80" w:before="0" w:line="276" w:lineRule="auto"/>
      </w:pPr>
      <w:r>
        <w:rPr>
          <w:rFonts w:ascii="Segoe UI" w:hAnsi="Segoe UI"/>
          <w:i/>
          <w:color w:val="1F2937"/>
          <w:sz w:val="19"/>
        </w:rPr>
        <w:t>"Hola [Nombre]. Hemos visto tu análisis sobre [Empresa]. En ARGOS hemos extraído automáticamente las notas de auditoría y los KAMs de sus últimos 5 años de filings ESEF y hemos detectado esta métrica interesante [adjuntar gráfico/dato]. Te damos una cuenta Founder gratuita de por vida para que uses el motor en tus propios vídeos y análisis si te resulta útil."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BENEFICIO RECIBE ÉL: Acceso a una herramienta de datos institucionales que enriquece sus propios vídeos y contenidos, diferenciándose del resto de creadores con datos exclusivos.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QUÉ NOS LLEVAMOS NOSOTROS: Menciones orgánicas de máxima credibilidad, prescripción de boca a boca y llegada directa a miles de usuarios retail cualificados.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DIFICULTAD Y TIEMPO ESTIMADO: Baja-Media. Tiempo hasta primera interacción: 3 a 7 días. Tiempo hasta colaboración: 2 a 4 semanas.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6"/>
        </w:rPr>
        <w:t>3. Síntesis Estratégica: Prioridad de Contacto y Plan de Acción Inmediato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</w:tblGrid>
      <w:tr>
        <w:trPr>
          <w:tblHeader/>
          <w:cantSplit/>
        </w:trPr>
        <w:tc>
          <w:tcPr>
            <w:tcW w:type="dxa" w:w="2880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Categoría de Cliente</w:t>
            </w:r>
          </w:p>
        </w:tc>
        <w:tc>
          <w:tcPr>
            <w:tcW w:type="dxa" w:w="1584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Nivel de Fricción</w:t>
            </w:r>
          </w:p>
        </w:tc>
        <w:tc>
          <w:tcPr>
            <w:tcW w:type="dxa" w:w="172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Tiempo Estimado</w:t>
            </w:r>
          </w:p>
        </w:tc>
        <w:tc>
          <w:tcPr>
            <w:tcW w:type="dxa" w:w="2880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Retorno Estratégico para STATER</w:t>
            </w:r>
          </w:p>
        </w:tc>
        <w:tc>
          <w:tcPr>
            <w:tcW w:type="dxa" w:w="1728"/>
            <w:shd w:fill="134074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7"/>
              </w:rPr>
              <w:t>Prioridad Temporal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1. Universidades (UMU primero)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Muy Baja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 – 3 semanas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Validación académica, QA de datos y prestigio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Semana 1 (Inmediato)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2. Creadores Técnicos &amp; Quants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Baja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1 – 2 semanas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Comunidad inicial, feedback API y boca a boca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Semana 1 – 2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3. Brokers (TradingView / Renta 4)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Baja (Media R4)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 – 4 semanas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Canal de monetización retail pasiva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Semana 2 – 3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4. Gestoras Boutique &amp; EAFs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Media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3 – 6 semanas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Primeros 5 clientes Founder y validación B2B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Semana 3 – 5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5. Fintechs &amp; Desarrolladores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Media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2 – 4 semanas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Adopción de API y volumen técnico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Semana 4 – 6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6. Pymes Cotizadas (Growth)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Media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4 – 8 semanas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Ingresos por Portal Emisor e IR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Mes 2 – 3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7. Auditoras &amp; Boutiques M&amp;A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Media-Alta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6 – 10 semanas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Licencias corporativas de due diligence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Mes 2 – 4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8. Family Offices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Alta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8 – 12 semanas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Grandes contratos anuales (10k–25k €)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color w:val="1F2937"/>
                <w:sz w:val="17"/>
              </w:rPr>
              <w:t>Mes 3 – 5</w:t>
            </w:r>
          </w:p>
        </w:tc>
      </w:tr>
    </w:tbl>
    <w:p>
      <w:pPr>
        <w:spacing w:after="80"/>
      </w:pPr>
    </w:p>
    <w:p>
      <w:pPr>
        <w:keepNext/>
        <w:spacing w:before="220" w:after="80"/>
      </w:pPr>
      <w:r>
        <w:rPr>
          <w:rFonts w:ascii="Segoe UI" w:hAnsi="Segoe UI"/>
          <w:b/>
          <w:color w:val="134074"/>
          <w:sz w:val="21"/>
        </w:rPr>
        <w:t>3.1. Plan de Acción para Esta Misma Semana (Los 5 Primeros Contactos Concretos)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1. Contacto Universidad de Murcia (UMU): </w:t>
      </w:r>
      <w:r>
        <w:rPr>
          <w:rFonts w:ascii="Segoe UI" w:hAnsi="Segoe UI"/>
          <w:color w:val="1F2937"/>
          <w:sz w:val="19"/>
        </w:rPr>
        <w:t>Reunión con el Dpto. de Economía Financiera y Contabilidad de la UMU para presentar ARGOS y proponer convenio de TFMs/datasets.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2. Optimización Perfil LinkedIn Institucional: </w:t>
      </w:r>
      <w:r>
        <w:rPr>
          <w:rFonts w:ascii="Segoe UI" w:hAnsi="Segoe UI"/>
          <w:color w:val="1F2937"/>
          <w:sz w:val="19"/>
        </w:rPr>
        <w:t>Optimizar titular y experiencia: "Founder &amp; Lead Architect @ STATER / ARGOS · European Financial Data &amp; Auditing Engine".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3. Contacto con Creadores Técnicos: </w:t>
      </w:r>
      <w:r>
        <w:rPr>
          <w:rFonts w:ascii="Segoe UI" w:hAnsi="Segoe UI"/>
          <w:color w:val="1F2937"/>
          <w:sz w:val="19"/>
        </w:rPr>
        <w:t>Mensaje a 3 creadores rigurosos (ej. Fran Miró, Jesús Lage) enviándoles una muestra de datos ESEF normalizados y acceso Founder.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4. Preparación de Dossier para Gestoras: </w:t>
      </w:r>
      <w:r>
        <w:rPr>
          <w:rFonts w:ascii="Segoe UI" w:hAnsi="Segoe UI"/>
          <w:color w:val="1F2937"/>
          <w:sz w:val="19"/>
        </w:rPr>
        <w:t>Revisión de cartera de Horos / Magallanes / True Value y preparación del micro-informe de KAMs para outreach 1:1.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5. Inicio de Conversación con Renta 4 Banco: </w:t>
      </w:r>
      <w:r>
        <w:rPr>
          <w:rFonts w:ascii="Segoe UI" w:hAnsi="Segoe UI"/>
          <w:color w:val="1F2937"/>
          <w:sz w:val="19"/>
        </w:rPr>
        <w:t>Primer contacto formal con el área digital de Renta 4 Banco para plantear la propuesta de microcuentas con comisiones ajustadas.</w:t>
      </w:r>
    </w:p>
    <w:p>
      <w:pPr>
        <w:keepNext/>
        <w:spacing w:before="320" w:after="120"/>
      </w:pPr>
      <w:r>
        <w:rPr>
          <w:rFonts w:ascii="Segoe UI" w:hAnsi="Segoe UI"/>
          <w:b/>
          <w:color w:val="0B2545"/>
          <w:sz w:val="26"/>
        </w:rPr>
        <w:t>4. Banco Permanente de Excusas Legítimas de Contacto</w:t>
      </w:r>
    </w:p>
    <w:p>
      <w:pPr>
        <w:spacing w:after="80" w:before="0" w:line="276" w:lineRule="auto"/>
      </w:pPr>
      <w:r>
        <w:rPr>
          <w:rFonts w:ascii="Segoe UI" w:hAnsi="Segoe UI"/>
          <w:i w:val="0"/>
          <w:color w:val="1F2937"/>
          <w:sz w:val="19"/>
        </w:rPr>
        <w:t>Para erradicar para siempre la venta fría genérica, el equipo de desarrollo de negocio de STATER utilizará estos cinco disparadores contextuales para iniciar conversaciones de alto valor: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1. Publicación de Informes Financieros Anuales (ESEF / OAMs): </w:t>
      </w:r>
      <w:r>
        <w:rPr>
          <w:rFonts w:ascii="Segoe UI" w:hAnsi="Segoe UI"/>
          <w:color w:val="1F2937"/>
          <w:sz w:val="19"/>
        </w:rPr>
        <w:t>Contactar a la gestora o al family office cuando su principal posición publica cuentas, enviándoles el desglose de KAMs y notas contables procesado por ARGOS antes de que nadie lo publique.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2. Entrada en Vigor de Hitos CSRD / Directivas Europeas: </w:t>
      </w:r>
      <w:r>
        <w:rPr>
          <w:rFonts w:ascii="Segoe UI" w:hAnsi="Segoe UI"/>
          <w:color w:val="1F2937"/>
          <w:sz w:val="19"/>
        </w:rPr>
        <w:t>Contactar a consultoras, auditoras y cotizadas ofreciendo la herramienta de extracción de los 1.100 datapoints de sostenibilidad obligatorios.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3. Nuevas Salidas a Bolsa (IPOs en BME Growth / Scaleup): </w:t>
      </w:r>
      <w:r>
        <w:rPr>
          <w:rFonts w:ascii="Segoe UI" w:hAnsi="Segoe UI"/>
          <w:color w:val="1F2937"/>
          <w:sz w:val="19"/>
        </w:rPr>
        <w:t>Cuando una pyme se incorpora a BME Growth o Euronext, contactar a su CFO felicitándole y ofreciéndole el acceso gratuito a su autoperfil y benchmarking.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4. Ciclos Académicos Universitarios: </w:t>
      </w:r>
      <w:r>
        <w:rPr>
          <w:rFonts w:ascii="Segoe UI" w:hAnsi="Segoe UI"/>
          <w:color w:val="1F2937"/>
          <w:sz w:val="19"/>
        </w:rPr>
        <w:t>Apertura de convocatorias de TFGs/TFMs y presentación de ponencias en congresos de contabilidad (ASEPUC, AECA).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5. Detección de Anomalías por el Motor ARGOS: </w:t>
      </w:r>
      <w:r>
        <w:rPr>
          <w:rFonts w:ascii="Segoe UI" w:hAnsi="Segoe UI"/>
          <w:color w:val="1F2937"/>
          <w:sz w:val="19"/>
        </w:rPr>
        <w:t>Aparición de inconsistencias contables o alertas de auditoría en cotizadas europeas, compartiendo el análisis técnico con analistas especializados.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Confidencial — Plan Táctico de Prospección y Desarrollo de Negocio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2.0 · MAPA OPERATIVO DE CLIENTES POTENCIALES REALES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