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Segoe UI" w:hAnsi="Segoe UI"/>
          <w:b/>
          <w:color w:val="0B2545"/>
          <w:sz w:val="36"/>
        </w:rPr>
        <w:t>HOJA DE RUTA TÉCNICA Y DE DATOS STATER / ARGOS</w:t>
      </w:r>
    </w:p>
    <w:p>
      <w:pPr>
        <w:spacing w:before="0" w:after="80"/>
      </w:pPr>
      <w:r>
        <w:rPr>
          <w:rFonts w:ascii="Segoe UI" w:hAnsi="Segoe UI"/>
          <w:b/>
          <w:color w:val="134074"/>
          <w:sz w:val="21"/>
        </w:rPr>
        <w:t>PLAN MAESTRO DE INGENIERÍA, VALIDACIÓN CON LA UMU, LANZAMIENTO Y EVOLUCIÓN REGULATORIA (FASES 0 A 5)</w:t>
      </w:r>
    </w:p>
    <w:p>
      <w:pPr>
        <w:spacing w:before="0" w:after="200"/>
      </w:pPr>
      <w:r>
        <w:rPr>
          <w:rFonts w:ascii="Segoe UI" w:hAnsi="Segoe UI"/>
          <w:b/>
          <w:color w:val="64748B"/>
          <w:sz w:val="17"/>
        </w:rPr>
        <w:t>STATER MATRIZ · ARGOS DATA ENGINE · INTRINSIC VALUE · LUMINIC FINANCE · EAF TECNOLÓGICA (AÑO 3)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61"/>
      </w:tblGrid>
      <w:tr>
        <w:tc>
          <w:tcPr>
            <w:tcW w:type="dxa" w:w="9461"/>
            <w:shd w:fill="F0F4F8"/>
            <w:tcMar>
              <w:top w:w="120" w:type="dxa"/>
              <w:bottom w:w="120" w:type="dxa"/>
              <w:left w:w="180" w:type="dxa"/>
              <w:right w:w="160" w:type="dxa"/>
            </w:tcMar>
            <w:tcBorders>
              <w:top w:val="none" w:sz="24" w:space="0" w:color="134074"/>
              <w:left w:val="single" w:sz="24" w:space="0" w:color="134074"/>
              <w:bottom w:val="none" w:sz="24" w:space="0" w:color="134074"/>
              <w:right w:val="none" w:sz="24" w:space="0" w:color="134074"/>
            </w:tcBorders>
          </w:tcPr>
          <w:p>
            <w:pPr>
              <w:spacing w:after="0" w:before="0" w:line="276" w:lineRule="auto"/>
            </w:pPr>
            <w:r>
              <w:rPr>
                <w:rFonts w:ascii="Segoe UI" w:hAnsi="Segoe UI"/>
                <w:b/>
                <w:color w:val="0B2545"/>
                <w:sz w:val="19"/>
              </w:rPr>
              <w:t>DECLARACIÓN ESTRATÉGICA DE HOJA DE RUTA (V2 DEFINITIVA)</w:t>
              <w:br/>
            </w:r>
            <w:r>
              <w:rPr>
                <w:rFonts w:ascii="Segoe UI" w:hAnsi="Segoe UI"/>
                <w:color w:val="1F2937"/>
                <w:sz w:val="18"/>
              </w:rPr>
              <w:t>Tesis de Ejecución Desriesgada y Eficiencia Máxima:</w:t>
              <w:br/>
              <w:t>La Fase 0 es un periodo real y previo a la constitución de la empresa (9 a 12 meses de 'Backstage' pre-empresa) donde se realiza todo el I+D pesado y la extracción completa de los 5 países objetivo (España, Francia, Países Bajos, Italia y Alemania) en colaboración académica con la Universidad de Murcia (UMU), sin actividad comercial pública ni costes de estructura societaria.</w:t>
              <w:br/>
              <w:br/>
              <w:t>En la Fase 1, la SL se constituye y se lanza de inmediato al mercado con un producto 100% terminado, probado y sin incertidumbre técnica.</w:t>
            </w:r>
          </w:p>
        </w:tc>
      </w:tr>
    </w:tbl>
    <w:p>
      <w:pPr>
        <w:spacing w:after="80"/>
      </w:pPr>
    </w:p>
    <w:p>
      <w:pPr>
        <w:keepNext/>
        <w:spacing w:before="320" w:after="120"/>
      </w:pPr>
      <w:r>
        <w:rPr>
          <w:rFonts w:ascii="Segoe UI" w:hAnsi="Segoe UI"/>
          <w:b/>
          <w:color w:val="0B2545"/>
          <w:sz w:val="27"/>
        </w:rPr>
        <w:t>1. Arquitectura Temporal de la Hoja de Ruta (Ciclo de Fases 0 a 5)</w:t>
      </w:r>
    </w:p>
    <w:p>
      <w:pPr>
        <w:spacing w:after="80" w:before="0" w:line="276" w:lineRule="auto"/>
      </w:pPr>
      <w:r>
        <w:rPr>
          <w:rFonts w:ascii="Segoe UI" w:hAnsi="Segoe UI"/>
          <w:i w:val="0"/>
          <w:color w:val="1F2937"/>
          <w:sz w:val="19"/>
        </w:rPr>
        <w:t>El desarrollo técnico, comercial y regulatorio de STATER se articula en una secuencia lógica diseñada para maximizar el rigor técnico y minimizar el consumo prematuro de capital: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61"/>
      </w:tblGrid>
      <w:tr>
        <w:tc>
          <w:tcPr>
            <w:tcW w:type="dxa" w:w="9461"/>
            <w:shd w:fill="0F172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</w:tcPr>
          <w:p>
            <w:pPr>
              <w:spacing w:after="20" w:before="0" w:line="252" w:lineRule="auto"/>
            </w:pPr>
            <w:r>
              <w:rPr>
                <w:rFonts w:ascii="Consolas" w:hAnsi="Consolas"/>
                <w:color w:val="E2E8F0"/>
                <w:sz w:val="17"/>
              </w:rPr>
              <w:t>========================================================================================================</w:t>
            </w:r>
          </w:p>
          <w:p>
            <w:pPr>
              <w:spacing w:after="20" w:before="0" w:line="252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                        CRONOGRAMA MAESTRO STATER / ARGOS</w:t>
            </w:r>
          </w:p>
          <w:p>
            <w:pPr>
              <w:spacing w:after="20" w:before="0" w:line="252" w:lineRule="auto"/>
            </w:pPr>
            <w:r>
              <w:rPr>
                <w:rFonts w:ascii="Consolas" w:hAnsi="Consolas"/>
                <w:color w:val="E2E8F0"/>
                <w:sz w:val="17"/>
              </w:rPr>
              <w:t>========================================================================================================</w:t>
            </w:r>
          </w:p>
          <w:p>
            <w:pPr>
              <w:spacing w:after="20" w:before="0" w:line="252" w:lineRule="auto"/>
            </w:pPr>
            <w:r>
              <w:rPr>
                <w:rFonts w:ascii="Consolas" w:hAnsi="Consolas"/>
                <w:color w:val="E2E8F0"/>
                <w:sz w:val="17"/>
              </w:rPr>
              <w:t>[FASE 0: PRE-EMPRESA]   9-12 Meses · Backstage I+D con UMU · 5 Países Completos · Cero Gasto Societario</w:t>
            </w:r>
          </w:p>
          <w:p>
            <w:pPr>
              <w:spacing w:after="20" w:before="0" w:line="252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│</w:t>
            </w:r>
          </w:p>
          <w:p>
            <w:pPr>
              <w:spacing w:after="20" w:before="0" w:line="252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▼</w:t>
            </w:r>
          </w:p>
          <w:p>
            <w:pPr>
              <w:spacing w:after="20" w:before="0" w:line="252" w:lineRule="auto"/>
            </w:pPr>
            <w:r>
              <w:rPr>
                <w:rFonts w:ascii="Consolas" w:hAnsi="Consolas"/>
                <w:color w:val="E2E8F0"/>
                <w:sz w:val="17"/>
              </w:rPr>
              <w:t>[FASE 1: LANZAMIENTO]   2-3 Meses · Constitución SL + Web Inmediata + 5 Países Operativos (2.500€ UMU)</w:t>
            </w:r>
          </w:p>
          <w:p>
            <w:pPr>
              <w:spacing w:after="20" w:before="0" w:line="252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│</w:t>
            </w:r>
          </w:p>
          <w:p>
            <w:pPr>
              <w:spacing w:after="20" w:before="0" w:line="252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▼</w:t>
            </w:r>
          </w:p>
          <w:p>
            <w:pPr>
              <w:spacing w:after="20" w:before="0" w:line="252" w:lineRule="auto"/>
            </w:pPr>
            <w:r>
              <w:rPr>
                <w:rFonts w:ascii="Consolas" w:hAnsi="Consolas"/>
                <w:color w:val="E2E8F0"/>
                <w:sz w:val="17"/>
              </w:rPr>
              <w:t>[FASE 2: COMPROBACIÓN]  6 Meses · Tracción Comercial Sostenida · Primeros Clientes B2B/Retail</w:t>
            </w:r>
          </w:p>
          <w:p>
            <w:pPr>
              <w:spacing w:after="20" w:before="0" w:line="252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│</w:t>
            </w:r>
          </w:p>
          <w:p>
            <w:pPr>
              <w:spacing w:after="20" w:before="0" w:line="252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▼</w:t>
            </w:r>
          </w:p>
          <w:p>
            <w:pPr>
              <w:spacing w:after="20" w:before="0" w:line="252" w:lineRule="auto"/>
            </w:pPr>
            <w:r>
              <w:rPr>
                <w:rFonts w:ascii="Consolas" w:hAnsi="Consolas"/>
                <w:color w:val="E2E8F0"/>
                <w:sz w:val="17"/>
              </w:rPr>
              <w:t>[FASE 3: EXPANSIÓN]     3 Meses · Entrada en LatAm + Países Europeos Secundarios (UK, PT, PL, CZ)</w:t>
            </w:r>
          </w:p>
          <w:p>
            <w:pPr>
              <w:spacing w:after="20" w:before="0" w:line="252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│</w:t>
            </w:r>
          </w:p>
          <w:p>
            <w:pPr>
              <w:spacing w:after="20" w:before="0" w:line="252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▼</w:t>
            </w:r>
          </w:p>
          <w:p>
            <w:pPr>
              <w:spacing w:after="20" w:before="0" w:line="252" w:lineRule="auto"/>
            </w:pPr>
            <w:r>
              <w:rPr>
                <w:rFonts w:ascii="Consolas" w:hAnsi="Consolas"/>
                <w:color w:val="E2E8F0"/>
                <w:sz w:val="17"/>
              </w:rPr>
              <w:t>[FASE 4: CONSOLIDACIÓN] Año 2 Completo · Escala Internacional + 20% Excedentes a Impacto Social</w:t>
            </w:r>
          </w:p>
          <w:p>
            <w:pPr>
              <w:spacing w:after="20" w:before="0" w:line="252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│</w:t>
            </w:r>
          </w:p>
          <w:p>
            <w:pPr>
              <w:spacing w:after="20" w:before="0" w:line="252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▼</w:t>
            </w:r>
          </w:p>
          <w:p>
            <w:pPr>
              <w:spacing w:after="20" w:before="0" w:line="252" w:lineRule="auto"/>
            </w:pPr>
            <w:r>
              <w:rPr>
                <w:rFonts w:ascii="Consolas" w:hAnsi="Consolas"/>
                <w:color w:val="E2E8F0"/>
                <w:sz w:val="17"/>
              </w:rPr>
              <w:t>[FASE 5: EVOLUCIÓN]     Año 3 Completo · Registro como EAF Tecnológica ante CNMV (Filial Regulada)</w:t>
            </w:r>
          </w:p>
          <w:p>
            <w:pPr>
              <w:spacing w:after="20" w:before="0" w:line="252" w:lineRule="auto"/>
            </w:pPr>
            <w:r>
              <w:rPr>
                <w:rFonts w:ascii="Consolas" w:hAnsi="Consolas"/>
                <w:color w:val="E2E8F0"/>
                <w:sz w:val="17"/>
              </w:rPr>
              <w:t>========================================================================================================</w:t>
            </w:r>
          </w:p>
        </w:tc>
      </w:tr>
    </w:tbl>
    <w:p>
      <w:pPr>
        <w:spacing w:after="80"/>
      </w:pPr>
    </w:p>
    <w:p>
      <w:pPr>
        <w:keepNext/>
        <w:spacing w:before="320" w:after="120"/>
      </w:pPr>
      <w:r>
        <w:rPr>
          <w:rFonts w:ascii="Segoe UI" w:hAnsi="Segoe UI"/>
          <w:b/>
          <w:color w:val="0B2545"/>
          <w:sz w:val="27"/>
        </w:rPr>
        <w:t>2. Fase 0 — Backstage de Desarrollo y Validación con la UMU (Pre-Empresa)</w:t>
      </w:r>
    </w:p>
    <w:p>
      <w:pPr>
        <w:spacing w:after="80" w:before="0" w:line="276" w:lineRule="auto"/>
      </w:pPr>
      <w:r>
        <w:rPr>
          <w:rFonts w:ascii="Segoe UI" w:hAnsi="Segoe UI"/>
          <w:i w:val="0"/>
          <w:color w:val="1F2937"/>
          <w:sz w:val="19"/>
        </w:rPr>
        <w:t>Duración: 9 a 12 meses. Estado legal: Pre-empresa (sin sociedad mercantil constituida). Naturaleza de la fase: I+D puro y construcción de producto en colaboración académica con el Dpto. de Economía Financiera y Contabilidad de la Universidad de Murcia (UMU), antes de asumir cargas societarias, fiscales o compromisos comerciales públicos.</w:t>
      </w:r>
    </w:p>
    <w:p>
      <w:pPr>
        <w:keepNext/>
        <w:spacing w:before="220" w:after="80"/>
      </w:pPr>
      <w:r>
        <w:rPr>
          <w:rFonts w:ascii="Segoe UI" w:hAnsi="Segoe UI"/>
          <w:b/>
          <w:color w:val="134074"/>
          <w:sz w:val="22"/>
        </w:rPr>
        <w:t>2.1. Objetivos Técnicos y Cobertura de 5 Países</w:t>
      </w:r>
    </w:p>
    <w:p>
      <w:pPr>
        <w:pStyle w:val="ListBullet"/>
        <w:spacing w:after="60" w:before="0" w:line="276" w:lineRule="auto"/>
        <w:ind w:left="360"/>
      </w:pPr>
      <w:r>
        <w:rPr>
          <w:rFonts w:ascii="Segoe UI" w:hAnsi="Segoe UI"/>
          <w:b/>
          <w:color w:val="1F2937"/>
          <w:sz w:val="19"/>
        </w:rPr>
        <w:t xml:space="preserve">• Cobertura Paneuropea de 5 Países: </w:t>
      </w:r>
      <w:r>
        <w:rPr>
          <w:rFonts w:ascii="Segoe UI" w:hAnsi="Segoe UI"/>
          <w:color w:val="1F2937"/>
          <w:sz w:val="19"/>
        </w:rPr>
        <w:t>Construcción e ingesta completa de filings ESEF (Inline XBRL), cuestiones clave de auditoría (KAM ISA 701) y datapoints CSRD/ESRS en los 5 países iniciales: España (CNMV/BME), Francia (AMF/Euronext París), Países Bajos (AFM/Euronext Ámsterdam), Italia (CONSOB/Borsa Italiana) y Alemania (BaFin/Deutsche Börse).</w:t>
      </w:r>
    </w:p>
    <w:p>
      <w:pPr>
        <w:pStyle w:val="ListBullet"/>
        <w:spacing w:after="60" w:before="0" w:line="276" w:lineRule="auto"/>
        <w:ind w:left="360"/>
      </w:pPr>
      <w:r>
        <w:rPr>
          <w:rFonts w:ascii="Segoe UI" w:hAnsi="Segoe UI"/>
          <w:b/>
          <w:color w:val="1F2937"/>
          <w:sz w:val="19"/>
        </w:rPr>
        <w:t xml:space="preserve">• Subproductos ARGOS: </w:t>
      </w:r>
      <w:r>
        <w:rPr>
          <w:rFonts w:ascii="Segoe UI" w:hAnsi="Segoe UI"/>
          <w:color w:val="1F2937"/>
          <w:sz w:val="19"/>
        </w:rPr>
        <w:t>Desarrollo de los 4 subproductos de datos: 1) API REST FastAPI con documentación OpenAPI, 2) Base de metadatos relacional en DuckDB/PostgreSQL, 3) Datasets tabulares en formato Parquet para backtesting, y 4) Generador automatizado de Informes Intrinsic Value con hash SHA-256.</w:t>
      </w:r>
    </w:p>
    <w:p>
      <w:pPr>
        <w:pStyle w:val="ListBullet"/>
        <w:spacing w:after="60" w:before="0" w:line="276" w:lineRule="auto"/>
        <w:ind w:left="360"/>
      </w:pPr>
      <w:r>
        <w:rPr>
          <w:rFonts w:ascii="Segoe UI" w:hAnsi="Segoe UI"/>
          <w:b/>
          <w:color w:val="1F2937"/>
          <w:sz w:val="19"/>
        </w:rPr>
        <w:t xml:space="preserve">• Laboratorio SFI: </w:t>
      </w:r>
      <w:r>
        <w:rPr>
          <w:rFonts w:ascii="Segoe UI" w:hAnsi="Segoe UI"/>
          <w:color w:val="1F2937"/>
          <w:sz w:val="19"/>
        </w:rPr>
        <w:t>Avance a ritmo sostenido del software ejecutable y el curso del Laboratorio SFI (simulaciones de factores y carteras).</w:t>
      </w:r>
    </w:p>
    <w:p>
      <w:pPr>
        <w:pStyle w:val="ListBullet"/>
        <w:spacing w:after="60" w:before="0" w:line="276" w:lineRule="auto"/>
        <w:ind w:left="360"/>
      </w:pPr>
      <w:r>
        <w:rPr>
          <w:rFonts w:ascii="Segoe UI" w:hAnsi="Segoe UI"/>
          <w:b/>
          <w:color w:val="1F2937"/>
          <w:sz w:val="19"/>
        </w:rPr>
        <w:t xml:space="preserve">• Capacitación de Clientes: </w:t>
      </w:r>
      <w:r>
        <w:rPr>
          <w:rFonts w:ascii="Segoe UI" w:hAnsi="Segoe UI"/>
          <w:color w:val="1F2937"/>
          <w:sz w:val="19"/>
        </w:rPr>
        <w:t>Redacción del manual técnico y guía metodológica de interpretación de los informes Intrinsic Value para el futuro cliente B2B.</w:t>
      </w:r>
    </w:p>
    <w:p>
      <w:pPr>
        <w:keepNext/>
        <w:spacing w:before="220" w:after="80"/>
      </w:pPr>
      <w:r>
        <w:rPr>
          <w:rFonts w:ascii="Segoe UI" w:hAnsi="Segoe UI"/>
          <w:b/>
          <w:color w:val="134074"/>
          <w:sz w:val="22"/>
        </w:rPr>
        <w:t>2.2. Doble Validación de Calidad y Preparación Societaria</w:t>
      </w:r>
    </w:p>
    <w:p>
      <w:pPr>
        <w:pStyle w:val="ListBullet"/>
        <w:spacing w:after="60" w:before="0" w:line="276" w:lineRule="auto"/>
        <w:ind w:left="360"/>
      </w:pPr>
      <w:r>
        <w:rPr>
          <w:rFonts w:ascii="Segoe UI" w:hAnsi="Segoe UI"/>
          <w:b/>
          <w:color w:val="1F2937"/>
          <w:sz w:val="19"/>
        </w:rPr>
        <w:t xml:space="preserve">• Control de Calidad UMU: </w:t>
      </w:r>
      <w:r>
        <w:rPr>
          <w:rFonts w:ascii="Segoe UI" w:hAnsi="Segoe UI"/>
          <w:color w:val="1F2937"/>
          <w:sz w:val="19"/>
        </w:rPr>
        <w:t>El producto se somete a una doble auditoría de calidad: 1) Validación técnica interna del fundador sobre integridad de código, y 2) Control de calidad externo del profesorado y alumnos de la UMU mediante la asignación de TFGs/TFMs empíricos y proyectos de investigación académica sobre datos contables reales.</w:t>
      </w:r>
    </w:p>
    <w:p>
      <w:pPr>
        <w:pStyle w:val="ListBullet"/>
        <w:spacing w:after="60" w:before="0" w:line="276" w:lineRule="auto"/>
        <w:ind w:left="360"/>
      </w:pPr>
      <w:r>
        <w:rPr>
          <w:rFonts w:ascii="Segoe UI" w:hAnsi="Segoe UI"/>
          <w:b/>
          <w:color w:val="1F2937"/>
          <w:sz w:val="19"/>
        </w:rPr>
        <w:t xml:space="preserve">• Preparación Legal Paralela: </w:t>
      </w:r>
      <w:r>
        <w:rPr>
          <w:rFonts w:ascii="Segoe UI" w:hAnsi="Segoe UI"/>
          <w:color w:val="1F2937"/>
          <w:sz w:val="19"/>
        </w:rPr>
        <w:t>Redacción de estatutos sociales, definición del objeto social (servicios tecnológicos y suministro de datos), elección del domicilio fiscal y preparación de poderes para que la constitución de la SL en la Fase 1 sea un acto administrativo inmediato de 48-72 horas.</w:t>
      </w:r>
    </w:p>
    <w:p>
      <w:pPr>
        <w:pStyle w:val="ListBullet"/>
        <w:spacing w:after="60" w:before="0" w:line="276" w:lineRule="auto"/>
        <w:ind w:left="360"/>
      </w:pPr>
      <w:r>
        <w:rPr>
          <w:rFonts w:ascii="Segoe UI" w:hAnsi="Segoe UI"/>
          <w:b/>
          <w:color w:val="1F2937"/>
          <w:sz w:val="19"/>
        </w:rPr>
        <w:t xml:space="preserve">• Economía de la Fase 0: </w:t>
      </w:r>
      <w:r>
        <w:rPr>
          <w:rFonts w:ascii="Segoe UI" w:hAnsi="Segoe UI"/>
          <w:color w:val="1F2937"/>
          <w:sz w:val="19"/>
        </w:rPr>
        <w:t>El desarrollo en Fase 0 lo asume el fundador como persona física con costes operativos mínimos (servidor de pruebas en Hetzner, dominios y licencias de software: ~50 a 150 €/mes asumidos como inversión personal). No existen gastos de nóminas ni estructura mercantil.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61"/>
      </w:tblGrid>
      <w:tr>
        <w:tc>
          <w:tcPr>
            <w:tcW w:type="dxa" w:w="9461"/>
            <w:shd w:fill="F0F4F8"/>
            <w:tcMar>
              <w:top w:w="120" w:type="dxa"/>
              <w:bottom w:w="120" w:type="dxa"/>
              <w:left w:w="180" w:type="dxa"/>
              <w:right w:w="160" w:type="dxa"/>
            </w:tcMar>
            <w:tcBorders>
              <w:top w:val="none" w:sz="24" w:space="0" w:color="134074"/>
              <w:left w:val="single" w:sz="24" w:space="0" w:color="134074"/>
              <w:bottom w:val="none" w:sz="24" w:space="0" w:color="134074"/>
              <w:right w:val="none" w:sz="24" w:space="0" w:color="134074"/>
            </w:tcBorders>
          </w:tcPr>
          <w:p>
            <w:pPr>
              <w:spacing w:after="0" w:before="0" w:line="276" w:lineRule="auto"/>
            </w:pPr>
            <w:r>
              <w:rPr>
                <w:rFonts w:ascii="Segoe UI" w:hAnsi="Segoe UI"/>
                <w:b/>
                <w:color w:val="0B2545"/>
                <w:sz w:val="19"/>
              </w:rPr>
              <w:t>CRITERIO DE CIERRE FASE 0</w:t>
              <w:br/>
            </w:r>
            <w:r>
              <w:rPr>
                <w:rFonts w:ascii="Segoe UI" w:hAnsi="Segoe UI"/>
                <w:color w:val="1F2937"/>
                <w:sz w:val="18"/>
              </w:rPr>
              <w:t>Criterio Estricto de Salida de la Fase 0:</w:t>
              <w:br/>
              <w:t>El producto debe estar terminado, probado por el fundador y validado externamente por el equipo de la Universidad de Murcia. Solo con el motor de 5 países verificado y los informes listos se autoriza el paso a la Fase 1.</w:t>
            </w:r>
          </w:p>
        </w:tc>
      </w:tr>
    </w:tbl>
    <w:p>
      <w:pPr>
        <w:spacing w:after="80"/>
      </w:pPr>
    </w:p>
    <w:p>
      <w:pPr>
        <w:keepNext/>
        <w:spacing w:before="320" w:after="120"/>
      </w:pPr>
      <w:r>
        <w:rPr>
          <w:rFonts w:ascii="Segoe UI" w:hAnsi="Segoe UI"/>
          <w:b/>
          <w:color w:val="0B2545"/>
          <w:sz w:val="27"/>
        </w:rPr>
        <w:t>3. Fase 1 — Creación de la Empresa y Lanzamiento Completo</w:t>
      </w:r>
    </w:p>
    <w:p>
      <w:pPr>
        <w:spacing w:after="80" w:before="0" w:line="276" w:lineRule="auto"/>
      </w:pPr>
      <w:r>
        <w:rPr>
          <w:rFonts w:ascii="Segoe UI" w:hAnsi="Segoe UI"/>
          <w:i w:val="0"/>
          <w:color w:val="1F2937"/>
          <w:sz w:val="19"/>
        </w:rPr>
        <w:t>Duración: 2 a 3 meses. Inicio: Inmediato tras la validación final de la Fase 0.</w:t>
      </w:r>
    </w:p>
    <w:p>
      <w:pPr>
        <w:keepNext/>
        <w:spacing w:before="220" w:after="80"/>
      </w:pPr>
      <w:r>
        <w:rPr>
          <w:rFonts w:ascii="Segoe UI" w:hAnsi="Segoe UI"/>
          <w:b/>
          <w:color w:val="134074"/>
          <w:sz w:val="22"/>
        </w:rPr>
        <w:t>3.1. Secuencia de Ejecución Inmediata</w:t>
      </w:r>
    </w:p>
    <w:p>
      <w:pPr>
        <w:pStyle w:val="ListBullet"/>
        <w:spacing w:after="60" w:before="0" w:line="276" w:lineRule="auto"/>
        <w:ind w:left="360"/>
      </w:pPr>
      <w:r>
        <w:rPr>
          <w:rFonts w:ascii="Segoe UI" w:hAnsi="Segoe UI"/>
          <w:b/>
          <w:color w:val="1F2937"/>
          <w:sz w:val="19"/>
        </w:rPr>
        <w:t xml:space="preserve">1. Constitución Formal de STATER S.L.: </w:t>
      </w:r>
      <w:r>
        <w:rPr>
          <w:rFonts w:ascii="Segoe UI" w:hAnsi="Segoe UI"/>
          <w:color w:val="1F2937"/>
          <w:sz w:val="19"/>
        </w:rPr>
        <w:t>Otorgamiento de escrituras públicas, depósito de capital social (3.000 €), obtención de NIF definitivo y alta en el Registro Mercantil.</w:t>
      </w:r>
    </w:p>
    <w:p>
      <w:pPr>
        <w:pStyle w:val="ListBullet"/>
        <w:spacing w:after="60" w:before="0" w:line="276" w:lineRule="auto"/>
        <w:ind w:left="360"/>
      </w:pPr>
      <w:r>
        <w:rPr>
          <w:rFonts w:ascii="Segoe UI" w:hAnsi="Segoe UI"/>
          <w:b/>
          <w:color w:val="1F2937"/>
          <w:sz w:val="19"/>
        </w:rPr>
        <w:t xml:space="preserve">2. Lanzamiento Inmediato de la Web: </w:t>
      </w:r>
      <w:r>
        <w:rPr>
          <w:rFonts w:ascii="Segoe UI" w:hAnsi="Segoe UI"/>
          <w:color w:val="1F2937"/>
          <w:sz w:val="19"/>
        </w:rPr>
        <w:t>Publicación del portal web y apertura del acceso público al motor de datos de los 5 países. Al haber completado el desarrollo en Fase 0, el producto se lanza al 100% de su capacidad desde el minuto uno, eliminando el riesgo de lanzar prototipos incompletos.</w:t>
      </w:r>
    </w:p>
    <w:p>
      <w:pPr>
        <w:pStyle w:val="ListBullet"/>
        <w:spacing w:after="60" w:before="0" w:line="276" w:lineRule="auto"/>
        <w:ind w:left="360"/>
      </w:pPr>
      <w:r>
        <w:rPr>
          <w:rFonts w:ascii="Segoe UI" w:hAnsi="Segoe UI"/>
          <w:b/>
          <w:color w:val="1F2937"/>
          <w:sz w:val="19"/>
        </w:rPr>
        <w:t xml:space="preserve">3. Apertura Comercial Activa: </w:t>
      </w:r>
      <w:r>
        <w:rPr>
          <w:rFonts w:ascii="Segoe UI" w:hAnsi="Segoe UI"/>
          <w:color w:val="1F2937"/>
          <w:sz w:val="19"/>
        </w:rPr>
        <w:t>Ejecución del plan de prospección comercial 1:1 con las gestoras boutique y family offices identificados (oferta de 5 cuentas Founder vitalicias y 20 pilotos de 6-12 meses), y apertura del registro retail.</w:t>
      </w:r>
    </w:p>
    <w:p>
      <w:pPr>
        <w:keepNext/>
        <w:spacing w:before="220" w:after="80"/>
      </w:pPr>
      <w:r>
        <w:rPr>
          <w:rFonts w:ascii="Segoe UI" w:hAnsi="Segoe UI"/>
          <w:b/>
          <w:color w:val="134074"/>
          <w:sz w:val="22"/>
        </w:rPr>
        <w:t>3.2. Grupos de Trabajo UMU y Comunicación</w:t>
      </w:r>
    </w:p>
    <w:p>
      <w:pPr>
        <w:pStyle w:val="ListBullet"/>
        <w:spacing w:after="60" w:before="0" w:line="276" w:lineRule="auto"/>
        <w:ind w:left="360"/>
      </w:pPr>
      <w:r>
        <w:rPr>
          <w:rFonts w:ascii="Segoe UI" w:hAnsi="Segoe UI"/>
          <w:b/>
          <w:color w:val="1F2937"/>
          <w:sz w:val="19"/>
        </w:rPr>
        <w:t xml:space="preserve">• Dotación de 2.500 € para Grupos de Trabajo UMU: </w:t>
      </w:r>
      <w:r>
        <w:rPr>
          <w:rFonts w:ascii="Segoe UI" w:hAnsi="Segoe UI"/>
          <w:color w:val="1F2937"/>
          <w:sz w:val="19"/>
        </w:rPr>
        <w:t>Se habilita una partida presupuestaria de 2.500 € destinada a contratar a estudiantes seleccionados de la UMU para tareas concretas y proyectos por paquetes de horas estimadas (soporte técnico, control de incidencias, etiquetado de datos y asistencia en onboarding de clientes).</w:t>
      </w:r>
    </w:p>
    <w:p>
      <w:pPr>
        <w:pStyle w:val="ListBullet"/>
        <w:spacing w:after="60" w:before="0" w:line="276" w:lineRule="auto"/>
        <w:ind w:left="360"/>
      </w:pPr>
      <w:r>
        <w:rPr>
          <w:rFonts w:ascii="Segoe UI" w:hAnsi="Segoe UI"/>
          <w:b/>
          <w:color w:val="1F2937"/>
          <w:sz w:val="19"/>
        </w:rPr>
        <w:t xml:space="preserve">• Comunicación Progresiva: </w:t>
      </w:r>
      <w:r>
        <w:rPr>
          <w:rFonts w:ascii="Segoe UI" w:hAnsi="Segoe UI"/>
          <w:color w:val="1F2937"/>
          <w:sz w:val="19"/>
        </w:rPr>
        <w:t>Publicación del Vídeo Manifiesto permanente en redes sociales y arranque de la campaña 'Primeros 100 Usuarios Pro Gratis por 1 Año'.</w:t>
      </w:r>
    </w:p>
    <w:p>
      <w:pPr>
        <w:pStyle w:val="ListBullet"/>
        <w:spacing w:after="60" w:before="0" w:line="276" w:lineRule="auto"/>
        <w:ind w:left="360"/>
      </w:pPr>
      <w:r>
        <w:rPr>
          <w:rFonts w:ascii="Segoe UI" w:hAnsi="Segoe UI"/>
          <w:b/>
          <w:color w:val="1F2937"/>
          <w:sz w:val="19"/>
        </w:rPr>
        <w:t xml:space="preserve">• Campaña del Reto: </w:t>
      </w:r>
      <w:r>
        <w:rPr>
          <w:rFonts w:ascii="Segoe UI" w:hAnsi="Segoe UI"/>
          <w:color w:val="1F2937"/>
          <w:sz w:val="19"/>
        </w:rPr>
        <w:t>Diseño y estructuración del Reto Permanente de 45 Días en los últimos días de esta fase, para su despliegue continuado en la Fase 2.</w:t>
      </w:r>
    </w:p>
    <w:p>
      <w:pPr>
        <w:keepNext/>
        <w:spacing w:before="320" w:after="120"/>
      </w:pPr>
      <w:r>
        <w:rPr>
          <w:rFonts w:ascii="Segoe UI" w:hAnsi="Segoe UI"/>
          <w:b/>
          <w:color w:val="0B2545"/>
          <w:sz w:val="27"/>
        </w:rPr>
        <w:t>4. Fase 2 — Comprobación (6 Meses)</w:t>
      </w:r>
    </w:p>
    <w:p>
      <w:pPr>
        <w:spacing w:after="80" w:before="0" w:line="276" w:lineRule="auto"/>
      </w:pPr>
      <w:r>
        <w:rPr>
          <w:rFonts w:ascii="Segoe UI" w:hAnsi="Segoe UI"/>
          <w:i w:val="0"/>
          <w:color w:val="1F2937"/>
          <w:sz w:val="19"/>
        </w:rPr>
        <w:t>Duración: 6 meses (Meses 4 a 9 de vida de la SL). Enfoque: Operativa sostenida, verificación de modelos económicos y tracción comercial.</w:t>
      </w:r>
    </w:p>
    <w:p>
      <w:pPr>
        <w:pStyle w:val="ListBullet"/>
        <w:spacing w:after="60" w:before="0" w:line="276" w:lineRule="auto"/>
        <w:ind w:left="360"/>
      </w:pPr>
      <w:r>
        <w:rPr>
          <w:rFonts w:ascii="Segoe UI" w:hAnsi="Segoe UI"/>
          <w:b/>
          <w:color w:val="1F2937"/>
          <w:sz w:val="19"/>
        </w:rPr>
        <w:t xml:space="preserve">• Cobertura Operativa: </w:t>
      </w:r>
      <w:r>
        <w:rPr>
          <w:rFonts w:ascii="Segoe UI" w:hAnsi="Segoe UI"/>
          <w:color w:val="1F2937"/>
          <w:sz w:val="19"/>
        </w:rPr>
        <w:t>Generación sostenida de informes sectoriales, mantenimiento diario de pipelines ESEF y monitoreo de la estabilidad de la API REST.</w:t>
      </w:r>
    </w:p>
    <w:p>
      <w:pPr>
        <w:pStyle w:val="ListBullet"/>
        <w:spacing w:after="60" w:before="0" w:line="276" w:lineRule="auto"/>
        <w:ind w:left="360"/>
      </w:pPr>
      <w:r>
        <w:t>• Detección de Oportunidades B2B: Seguimiento de las cuentas Founder y conversión de los primeros clientes institucionales a licencias anuales de pago (3.500 €/año).</w:t>
      </w:r>
    </w:p>
    <w:p>
      <w:pPr>
        <w:pStyle w:val="ListBullet"/>
        <w:spacing w:after="60" w:before="0" w:line="276" w:lineRule="auto"/>
        <w:ind w:left="360"/>
      </w:pPr>
      <w:r>
        <w:rPr>
          <w:rFonts w:ascii="Segoe UI" w:hAnsi="Segoe UI"/>
          <w:b/>
          <w:color w:val="1F2937"/>
          <w:sz w:val="19"/>
        </w:rPr>
        <w:t xml:space="preserve">• Tracción Retail &amp; Social: </w:t>
      </w:r>
      <w:r>
        <w:rPr>
          <w:rFonts w:ascii="Segoe UI" w:hAnsi="Segoe UI"/>
          <w:color w:val="1F2937"/>
          <w:sz w:val="19"/>
        </w:rPr>
        <w:t>Desbloqueo de los 2 cursos de pago (Análisis Fundamental y EFPA/CFA) y activación del Piloto Regional de 50 plazas para personas en desempleo en la Región de Murcia (SEF/SEPE).</w:t>
      </w:r>
    </w:p>
    <w:p>
      <w:pPr>
        <w:pStyle w:val="ListBullet"/>
        <w:spacing w:after="60" w:before="0" w:line="276" w:lineRule="auto"/>
        <w:ind w:left="360"/>
      </w:pPr>
      <w:r>
        <w:rPr>
          <w:rFonts w:ascii="Segoe UI" w:hAnsi="Segoe UI"/>
          <w:b/>
          <w:color w:val="1F2937"/>
          <w:sz w:val="19"/>
        </w:rPr>
        <w:t xml:space="preserve">• Mejora Basada en Datos Reales: </w:t>
      </w:r>
      <w:r>
        <w:rPr>
          <w:rFonts w:ascii="Segoe UI" w:hAnsi="Segoe UI"/>
          <w:color w:val="1F2937"/>
          <w:sz w:val="19"/>
        </w:rPr>
        <w:t>Análisis analítico del comportamiento de los usuarios (tiempos de consulta, endpoints más utilizados) para optimizar el software.</w:t>
      </w:r>
    </w:p>
    <w:p>
      <w:pPr>
        <w:keepNext/>
        <w:spacing w:before="320" w:after="120"/>
      </w:pPr>
      <w:r>
        <w:rPr>
          <w:rFonts w:ascii="Segoe UI" w:hAnsi="Segoe UI"/>
          <w:b/>
          <w:color w:val="0B2545"/>
          <w:sz w:val="27"/>
        </w:rPr>
        <w:t>5. Fase 3 — Expansión (3 Meses)</w:t>
      </w:r>
    </w:p>
    <w:p>
      <w:pPr>
        <w:spacing w:after="80" w:before="0" w:line="276" w:lineRule="auto"/>
      </w:pPr>
      <w:r>
        <w:rPr>
          <w:rFonts w:ascii="Segoe UI" w:hAnsi="Segoe UI"/>
          <w:i w:val="0"/>
          <w:color w:val="1F2937"/>
          <w:sz w:val="19"/>
        </w:rPr>
        <w:t>Duración: 3 meses (Meses 10 a 12 de vida de la SL). Enfoque: Preparación técnica y despliegue de la expansión geográfica internacional.</w:t>
      </w:r>
    </w:p>
    <w:p>
      <w:pPr>
        <w:keepNext/>
        <w:spacing w:before="220" w:after="80"/>
      </w:pPr>
      <w:r>
        <w:rPr>
          <w:rFonts w:ascii="Segoe UI" w:hAnsi="Segoe UI"/>
          <w:b/>
          <w:color w:val="134074"/>
          <w:sz w:val="22"/>
        </w:rPr>
        <w:t>5.1. Análisis de Priorización Basado en Datos Reales</w:t>
      </w:r>
    </w:p>
    <w:p>
      <w:pPr>
        <w:spacing w:after="80" w:before="0" w:line="276" w:lineRule="auto"/>
      </w:pPr>
      <w:r>
        <w:rPr>
          <w:rFonts w:ascii="Segoe UI" w:hAnsi="Segoe UI"/>
          <w:i w:val="0"/>
          <w:color w:val="1F2937"/>
          <w:sz w:val="19"/>
        </w:rPr>
        <w:t>Con 9-12 meses de métricas reales de clientes acumuladas durante las Fases 1 y 2, se ejecuta la doble vía de expansión bajo la misma matriz STATER S.L.:</w:t>
      </w:r>
    </w:p>
    <w:p>
      <w:pPr>
        <w:pStyle w:val="ListBullet"/>
        <w:spacing w:after="60" w:before="0" w:line="276" w:lineRule="auto"/>
        <w:ind w:left="360"/>
      </w:pPr>
      <w:r>
        <w:rPr>
          <w:rFonts w:ascii="Segoe UI" w:hAnsi="Segoe UI"/>
          <w:b/>
          <w:color w:val="1F2937"/>
          <w:sz w:val="19"/>
        </w:rPr>
        <w:t xml:space="preserve">1. Eje Europeo Secundario (Prioridad Técnica Inmediata): </w:t>
      </w:r>
      <w:r>
        <w:rPr>
          <w:rFonts w:ascii="Segoe UI" w:hAnsi="Segoe UI"/>
          <w:color w:val="1F2937"/>
          <w:sz w:val="19"/>
        </w:rPr>
        <w:t>Reino Unido (FCA), Portugal (CMVM), República Checa (CNB) y Polonia (KNF). Ventaja técnica: aprovecha la misma infraestructura de taxonomía ESEF/XBRL y directivas europeas ya construida.</w:t>
      </w:r>
    </w:p>
    <w:p>
      <w:pPr>
        <w:pStyle w:val="ListBullet"/>
        <w:spacing w:after="60" w:before="0" w:line="276" w:lineRule="auto"/>
        <w:ind w:left="360"/>
      </w:pPr>
      <w:r>
        <w:rPr>
          <w:rFonts w:ascii="Segoe UI" w:hAnsi="Segoe UI"/>
          <w:b/>
          <w:color w:val="1F2937"/>
          <w:sz w:val="19"/>
        </w:rPr>
        <w:t xml:space="preserve">2. Eje Latinoamérica (Prioridad de Comunidad y Retail): </w:t>
      </w:r>
      <w:r>
        <w:rPr>
          <w:rFonts w:ascii="Segoe UI" w:hAnsi="Segoe UI"/>
          <w:color w:val="1F2937"/>
          <w:sz w:val="19"/>
        </w:rPr>
        <w:t>México (BMV/CNBV), Chile (CMF) y Colombia (BVC). Ventaja estratégica: comunidad hispanohablante natural y alta demanda de formación/análisis independiente con baja saturación de competidores locales.</w:t>
      </w:r>
    </w:p>
    <w:p>
      <w:pPr>
        <w:pStyle w:val="ListBullet"/>
        <w:spacing w:after="60" w:before="0" w:line="276" w:lineRule="auto"/>
        <w:ind w:left="360"/>
      </w:pPr>
      <w:r>
        <w:rPr>
          <w:rFonts w:ascii="Segoe UI" w:hAnsi="Segoe UI"/>
          <w:b/>
          <w:color w:val="1F2937"/>
          <w:sz w:val="19"/>
        </w:rPr>
        <w:t xml:space="preserve">3. Entregables de Cierre de Fase: </w:t>
      </w:r>
      <w:r>
        <w:rPr>
          <w:rFonts w:ascii="Segoe UI" w:hAnsi="Segoe UI"/>
          <w:color w:val="1F2937"/>
          <w:sz w:val="19"/>
        </w:rPr>
        <w:t>Lanzamiento de los nuevos modelos y bases de datos al cierre de la fase, junto con el despliegue de la App Móvil Luminic en React Native y la apertura del Marketplace P2P Libre.</w:t>
      </w:r>
    </w:p>
    <w:p>
      <w:pPr>
        <w:keepNext/>
        <w:spacing w:before="320" w:after="120"/>
      </w:pPr>
      <w:r>
        <w:rPr>
          <w:rFonts w:ascii="Segoe UI" w:hAnsi="Segoe UI"/>
          <w:b/>
          <w:color w:val="0B2545"/>
          <w:sz w:val="27"/>
        </w:rPr>
        <w:t>6. Fase 4 — Año 2: Consolidación</w:t>
      </w:r>
    </w:p>
    <w:p>
      <w:pPr>
        <w:spacing w:after="80" w:before="0" w:line="276" w:lineRule="auto"/>
      </w:pPr>
      <w:r>
        <w:rPr>
          <w:rFonts w:ascii="Segoe UI" w:hAnsi="Segoe UI"/>
          <w:i w:val="0"/>
          <w:color w:val="1F2937"/>
          <w:sz w:val="19"/>
        </w:rPr>
        <w:t>Duración: Año 2 completo de la sociedad. Enfoque: Escalamiento financiero, institucionalización del ecosistema e impacto social.</w:t>
      </w:r>
    </w:p>
    <w:p>
      <w:pPr>
        <w:pStyle w:val="ListBullet"/>
        <w:spacing w:after="60" w:before="0" w:line="276" w:lineRule="auto"/>
        <w:ind w:left="360"/>
      </w:pPr>
      <w:r>
        <w:rPr>
          <w:rFonts w:ascii="Segoe UI" w:hAnsi="Segoe UI"/>
          <w:b/>
          <w:color w:val="1F2937"/>
          <w:sz w:val="19"/>
        </w:rPr>
        <w:t xml:space="preserve">• Madurez Económica: </w:t>
      </w:r>
      <w:r>
        <w:rPr>
          <w:rFonts w:ascii="Segoe UI" w:hAnsi="Segoe UI"/>
          <w:color w:val="1F2937"/>
          <w:sz w:val="19"/>
        </w:rPr>
        <w:t>Alcanzar el punto de equilibrio financiero consolidado mediante el mix de ingresos (API B2B, afiliación con Renta 4/TradingView, Pro Retail y cursos).</w:t>
      </w:r>
    </w:p>
    <w:p>
      <w:pPr>
        <w:pStyle w:val="ListBullet"/>
        <w:spacing w:after="60" w:before="0" w:line="276" w:lineRule="auto"/>
        <w:ind w:left="360"/>
      </w:pPr>
      <w:r>
        <w:rPr>
          <w:rFonts w:ascii="Segoe UI" w:hAnsi="Segoe UI"/>
          <w:b/>
          <w:color w:val="1F2937"/>
          <w:sz w:val="19"/>
        </w:rPr>
        <w:t xml:space="preserve">• Fondo de Capital Inteligente: </w:t>
      </w:r>
      <w:r>
        <w:rPr>
          <w:rFonts w:ascii="Segoe UI" w:hAnsi="Segoe UI"/>
          <w:color w:val="1F2937"/>
          <w:sz w:val="19"/>
        </w:rPr>
        <w:t>Dotación obligatoria del 20% de los excedentes operativos a la Fase 2 del Programa Social (ampliación de Becas Pro a otras universidades y apertura de la primera convocatoria del Fondo de Financiación para Mini-Startups comunitarias).</w:t>
      </w:r>
    </w:p>
    <w:p>
      <w:pPr>
        <w:pStyle w:val="ListBullet"/>
        <w:spacing w:after="60" w:before="0" w:line="276" w:lineRule="auto"/>
        <w:ind w:left="360"/>
      </w:pPr>
      <w:r>
        <w:rPr>
          <w:rFonts w:ascii="Segoe UI" w:hAnsi="Segoe UI"/>
          <w:b/>
          <w:color w:val="1F2937"/>
          <w:sz w:val="19"/>
        </w:rPr>
        <w:t xml:space="preserve">• Alianzas Estratégicas: </w:t>
      </w:r>
      <w:r>
        <w:rPr>
          <w:rFonts w:ascii="Segoe UI" w:hAnsi="Segoe UI"/>
          <w:color w:val="1F2937"/>
          <w:sz w:val="19"/>
        </w:rPr>
        <w:t>Ampliación del sistema de retos cuantitativos con ligas interuniversitarias internacionales y alianzas formales con brokers y gestoras.</w:t>
      </w:r>
    </w:p>
    <w:p>
      <w:pPr>
        <w:keepNext/>
        <w:spacing w:before="320" w:after="120"/>
      </w:pPr>
      <w:r>
        <w:rPr>
          <w:rFonts w:ascii="Segoe UI" w:hAnsi="Segoe UI"/>
          <w:b/>
          <w:color w:val="0B2545"/>
          <w:sz w:val="27"/>
        </w:rPr>
        <w:t>7. Fase 5 — Año 3: Evolución Hacia EAF Tecnológica ante la CNMV</w:t>
      </w:r>
    </w:p>
    <w:p>
      <w:pPr>
        <w:spacing w:after="80" w:before="0" w:line="276" w:lineRule="auto"/>
      </w:pPr>
      <w:r>
        <w:rPr>
          <w:rFonts w:ascii="Segoe UI" w:hAnsi="Segoe UI"/>
          <w:i w:val="0"/>
          <w:color w:val="1F2937"/>
          <w:sz w:val="19"/>
        </w:rPr>
        <w:t>Duración: Año 3 completo. Enfoque: Transformación regulatoria estratégica para incorporar servicios de asesoramiento financiero regulado bajo supervisión de la CNMV.</w:t>
      </w:r>
    </w:p>
    <w:p>
      <w:pPr>
        <w:keepNext/>
        <w:spacing w:before="220" w:after="80"/>
      </w:pPr>
      <w:r>
        <w:rPr>
          <w:rFonts w:ascii="Segoe UI" w:hAnsi="Segoe UI"/>
          <w:b/>
          <w:color w:val="134074"/>
          <w:sz w:val="22"/>
        </w:rPr>
        <w:t>7.1. Análisis Exhaustivo de Viabilidad Legal y Requisitos CNMV</w:t>
      </w:r>
    </w:p>
    <w:p>
      <w:pPr>
        <w:spacing w:after="80" w:before="0" w:line="276" w:lineRule="auto"/>
      </w:pPr>
      <w:r>
        <w:rPr>
          <w:rFonts w:ascii="Segoe UI" w:hAnsi="Segoe UI"/>
          <w:i w:val="0"/>
          <w:color w:val="1F2937"/>
          <w:sz w:val="19"/>
        </w:rPr>
        <w:t>El régimen de las Empresas de Asesoramiento Financiero (EAF / EAFI) en España, regulado por la Ley 6/2023 de los Mercados de Valores y los Servicios de Inversión y el Real Decreto 217/2008, exige el cumplimiento estricto de los siguientes requisitos: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54"/>
        <w:gridCol w:w="3154"/>
        <w:gridCol w:w="3154"/>
      </w:tblGrid>
      <w:tr>
        <w:trPr>
          <w:tblHeader/>
          <w:cantSplit/>
        </w:trPr>
        <w:tc>
          <w:tcPr>
            <w:tcW w:type="dxa" w:w="2592"/>
            <w:shd w:fill="134074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6" w:space="0" w:color="1E3A8A"/>
              <w:left w:val="single" w:sz="6" w:space="0" w:color="1E3A8A"/>
              <w:bottom w:val="single" w:sz="6" w:space="0" w:color="1E3A8A"/>
              <w:right w:val="single" w:sz="6" w:space="0" w:color="1E3A8A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7"/>
              </w:rPr>
              <w:t>Requisito Regulatorio CNMV</w:t>
            </w:r>
          </w:p>
        </w:tc>
        <w:tc>
          <w:tcPr>
            <w:tcW w:type="dxa" w:w="3888"/>
            <w:shd w:fill="134074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6" w:space="0" w:color="1E3A8A"/>
              <w:left w:val="single" w:sz="6" w:space="0" w:color="1E3A8A"/>
              <w:bottom w:val="single" w:sz="6" w:space="0" w:color="1E3A8A"/>
              <w:right w:val="single" w:sz="6" w:space="0" w:color="1E3A8A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7"/>
              </w:rPr>
              <w:t>Exigencia Normativa Concreta</w:t>
            </w:r>
          </w:p>
        </w:tc>
        <w:tc>
          <w:tcPr>
            <w:tcW w:type="dxa" w:w="3600"/>
            <w:shd w:fill="134074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6" w:space="0" w:color="1E3A8A"/>
              <w:left w:val="single" w:sz="6" w:space="0" w:color="1E3A8A"/>
              <w:bottom w:val="single" w:sz="6" w:space="0" w:color="1E3A8A"/>
              <w:right w:val="single" w:sz="6" w:space="0" w:color="1E3A8A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7"/>
              </w:rPr>
              <w:t>Estrategia de Cumplimiento STATER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F2937"/>
                <w:sz w:val="17"/>
              </w:rPr>
              <w:t>Capital Social / Seguro RC</w:t>
            </w:r>
          </w:p>
        </w:tc>
        <w:tc>
          <w:tcPr>
            <w:tcW w:type="dxa" w:w="3888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F2937"/>
                <w:sz w:val="17"/>
              </w:rPr>
              <w:t>Opción A: Capital social íntegramente desembolsado de 50.000 € en efectivo.</w:t>
              <w:br/>
              <w:t>Opción B: Seguro de RC profesional (1,25M€/siniestro y 1,5M€/año) + 25.000 € de capital.</w:t>
            </w:r>
          </w:p>
        </w:tc>
        <w:tc>
          <w:tcPr>
            <w:tcW w:type="dxa" w:w="3600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F2937"/>
                <w:sz w:val="17"/>
              </w:rPr>
              <w:t>Dotación acumulada con los beneficios del Año 2 para constituir el capital mínimo de 50.000 € o contratación de póliza colectiva de RC.</w:t>
            </w:r>
          </w:p>
        </w:tc>
      </w:tr>
      <w:tr>
        <w:trPr>
          <w:cantSplit/>
        </w:trPr>
        <w:tc>
          <w:tcPr>
            <w:tcW w:type="dxa" w:w="2592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F2937"/>
                <w:sz w:val="17"/>
              </w:rPr>
              <w:t>Honorabilidad e Idoneidad</w:t>
            </w:r>
          </w:p>
        </w:tc>
        <w:tc>
          <w:tcPr>
            <w:tcW w:type="dxa" w:w="3888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F2937"/>
                <w:sz w:val="17"/>
              </w:rPr>
              <w:t>Los administradores y directores generales deben acreditar honorabilidad comercial, experiencia financiera previa y ausencia de antecedentes penales/sancionadores.</w:t>
            </w:r>
          </w:p>
        </w:tc>
        <w:tc>
          <w:tcPr>
            <w:tcW w:type="dxa" w:w="3600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F2937"/>
                <w:sz w:val="17"/>
              </w:rPr>
              <w:t>Nombramiento de profesionales acreditados con certificación MiFID II (CFA, EFA/EFP) en el consejo directivo de la entidad.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F2937"/>
                <w:sz w:val="17"/>
              </w:rPr>
              <w:t>Estructura Organizativa</w:t>
            </w:r>
          </w:p>
        </w:tc>
        <w:tc>
          <w:tcPr>
            <w:tcW w:type="dxa" w:w="3888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F2937"/>
                <w:sz w:val="17"/>
              </w:rPr>
              <w:t>Disponer de procedimientos de control interno, función de cumplimiento normativo independiente, gestión de riesgos y prevención de blanqueo de capitales (PBC/FT).</w:t>
            </w:r>
          </w:p>
        </w:tc>
        <w:tc>
          <w:tcPr>
            <w:tcW w:type="dxa" w:w="3600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F2937"/>
                <w:sz w:val="17"/>
              </w:rPr>
              <w:t>Externalización inicial de la función de cumplimiento normativo en una consultora regulatoria especializada (ej. FinReg360 o BDO Regulación).</w:t>
            </w:r>
          </w:p>
        </w:tc>
      </w:tr>
      <w:tr>
        <w:trPr>
          <w:cantSplit/>
        </w:trPr>
        <w:tc>
          <w:tcPr>
            <w:tcW w:type="dxa" w:w="2592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F2937"/>
                <w:sz w:val="17"/>
              </w:rPr>
              <w:t>Separación de Actividades</w:t>
            </w:r>
          </w:p>
        </w:tc>
        <w:tc>
          <w:tcPr>
            <w:tcW w:type="dxa" w:w="3888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F2937"/>
                <w:sz w:val="17"/>
              </w:rPr>
              <w:t>Una EAF solo puede prestar asesoramiento en materia de inversión y servicios auxiliares. No puede realizar intermediación, custodia ni venta cruzada incompatible.</w:t>
            </w:r>
          </w:p>
        </w:tc>
        <w:tc>
          <w:tcPr>
            <w:tcW w:type="dxa" w:w="3600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F2937"/>
                <w:sz w:val="17"/>
              </w:rPr>
              <w:t>Creación de una sociedad filial independiente para aislar el riesgo regulatorio y preservar el negocio tecnológico intacto.</w:t>
            </w:r>
          </w:p>
        </w:tc>
      </w:tr>
    </w:tbl>
    <w:p>
      <w:pPr>
        <w:spacing w:after="80"/>
      </w:pPr>
    </w:p>
    <w:p>
      <w:pPr>
        <w:keepNext/>
        <w:spacing w:before="220" w:after="80"/>
      </w:pPr>
      <w:r>
        <w:rPr>
          <w:rFonts w:ascii="Segoe UI" w:hAnsi="Segoe UI"/>
          <w:b/>
          <w:color w:val="134074"/>
          <w:sz w:val="22"/>
        </w:rPr>
        <w:t>7.2. Arquitectura Societaria: Filial Regulada Independiente</w:t>
      </w:r>
    </w:p>
    <w:p>
      <w:pPr>
        <w:spacing w:after="80" w:before="0" w:line="276" w:lineRule="auto"/>
      </w:pPr>
      <w:r>
        <w:rPr>
          <w:rFonts w:ascii="Segoe UI" w:hAnsi="Segoe UI"/>
          <w:i w:val="0"/>
          <w:color w:val="1F2937"/>
          <w:sz w:val="19"/>
        </w:rPr>
        <w:t>Para proteger el ecosistema tecnológico y evitar contaminar las actividades de suministro de datos (ARGOS) y formación abierta (Luminic) con las estrictas restricciones de comercialización de la CNMV, la actividad de asesoramiento se articulará a través de una nueva sociedad filial: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61"/>
      </w:tblGrid>
      <w:tr>
        <w:tc>
          <w:tcPr>
            <w:tcW w:type="dxa" w:w="9461"/>
            <w:shd w:fill="0F172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</w:tcPr>
          <w:p>
            <w:pPr>
              <w:spacing w:after="20" w:before="0" w:line="252" w:lineRule="auto"/>
            </w:pPr>
            <w:r>
              <w:rPr>
                <w:rFonts w:ascii="Consolas" w:hAnsi="Consolas"/>
                <w:color w:val="E2E8F0"/>
                <w:sz w:val="17"/>
              </w:rPr>
      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20" w:before="0" w:line="252" w:lineRule="auto"/>
            </w:pPr>
            <w:r>
              <w:rPr>
                <w:rFonts w:ascii="Consolas" w:hAnsi="Consolas"/>
                <w:color w:val="E2E8F0"/>
                <w:sz w:val="17"/>
              </w:rPr>
              <w:t>│                                STATER, S.L. (MATRIZ TECNOLÓGICA)                        │</w:t>
            </w:r>
          </w:p>
          <w:p>
            <w:pPr>
              <w:spacing w:after="20" w:before="0" w:line="252" w:lineRule="auto"/>
            </w:pPr>
            <w:r>
              <w:rPr>
                <w:rFonts w:ascii="Consolas" w:hAnsi="Consolas"/>
                <w:color w:val="E2E8F0"/>
                <w:sz w:val="17"/>
              </w:rPr>
              <w:t>│   • Actividades No Reguladas: Motor de datos ARGOS, API, Formación Luminic, Software    │</w:t>
            </w:r>
          </w:p>
          <w:p>
            <w:pPr>
              <w:spacing w:after="20" w:before="0" w:line="252" w:lineRule="auto"/>
            </w:pPr>
            <w:r>
              <w:rPr>
                <w:rFonts w:ascii="Consolas" w:hAnsi="Consolas"/>
                <w:color w:val="E2E8F0"/>
                <w:sz w:val="17"/>
              </w:rPr>
              <w:t>└───────────────────────────────────────────┬────────────────────────────────────────────┘</w:t>
            </w:r>
          </w:p>
          <w:p>
            <w:pPr>
              <w:spacing w:after="20" w:before="0" w:line="252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                                │ (100% Propiedad)</w:t>
            </w:r>
          </w:p>
          <w:p>
            <w:pPr>
              <w:spacing w:after="20" w:before="0" w:line="252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                                ▼</w:t>
            </w:r>
          </w:p>
          <w:p>
            <w:pPr>
              <w:spacing w:after="20" w:before="0" w:line="252" w:lineRule="auto"/>
            </w:pPr>
            <w:r>
              <w:rPr>
                <w:rFonts w:ascii="Consolas" w:hAnsi="Consolas"/>
                <w:color w:val="E2E8F0"/>
                <w:sz w:val="17"/>
              </w:rPr>
      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20" w:before="0" w:line="252" w:lineRule="auto"/>
            </w:pPr>
            <w:r>
              <w:rPr>
                <w:rFonts w:ascii="Consolas" w:hAnsi="Consolas"/>
                <w:color w:val="E2E8F0"/>
                <w:sz w:val="17"/>
              </w:rPr>
              <w:t>│                        STATER ASESORES EAF, S.L. (FILIAL REGULADA)                     │</w:t>
            </w:r>
          </w:p>
          <w:p>
            <w:pPr>
              <w:spacing w:after="20" w:before="0" w:line="252" w:lineRule="auto"/>
            </w:pPr>
            <w:r>
              <w:rPr>
                <w:rFonts w:ascii="Consolas" w:hAnsi="Consolas"/>
                <w:color w:val="E2E8F0"/>
                <w:sz w:val="17"/>
              </w:rPr>
              <w:t>│   • Actividades Reguladas CNMV: Asesoramiento Financiero Independiente y Algorítmico   │</w:t>
            </w:r>
          </w:p>
          <w:p>
            <w:pPr>
              <w:spacing w:after="20" w:before="0" w:line="252" w:lineRule="auto"/>
            </w:pPr>
            <w:r>
              <w:rPr>
                <w:rFonts w:ascii="Consolas" w:hAnsi="Consolas"/>
                <w:color w:val="E2E8F0"/>
                <w:sz w:val="17"/>
              </w:rPr>
              <w:t>│   • Capital Propio Aislado (50.000 €) · Responsabilidad y Supervisión Segregada        │</w:t>
            </w:r>
          </w:p>
          <w:p>
            <w:pPr>
              <w:spacing w:after="20" w:before="0" w:line="252" w:lineRule="auto"/>
            </w:pPr>
            <w:r>
              <w:rPr>
                <w:rFonts w:ascii="Consolas" w:hAnsi="Consolas"/>
                <w:color w:val="E2E8F0"/>
                <w:sz w:val="17"/>
              </w:rPr>
              <w:t>└────────────────────────────────────────────────────────────────────────────────────────┘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80"/>
      </w:pPr>
    </w:p>
    <w:p>
      <w:pPr>
        <w:keepNext/>
        <w:spacing w:before="320" w:after="120"/>
      </w:pPr>
      <w:r>
        <w:rPr>
          <w:rFonts w:ascii="Segoe UI" w:hAnsi="Segoe UI"/>
          <w:b/>
          <w:color w:val="0B2545"/>
          <w:sz w:val="27"/>
        </w:rPr>
        <w:t>8. Dotación de Recursos y Presupuesto de Estudiantes UMU por Fase</w:t>
      </w:r>
    </w:p>
    <w:p>
      <w:pPr>
        <w:spacing w:after="80" w:before="0" w:line="276" w:lineRule="auto"/>
      </w:pPr>
      <w:r>
        <w:rPr>
          <w:rFonts w:ascii="Segoe UI" w:hAnsi="Segoe UI"/>
          <w:i w:val="0"/>
          <w:color w:val="1F2937"/>
          <w:sz w:val="19"/>
        </w:rPr>
        <w:t>El modelo de dotación de personal prescinde de contrataciones fijas prematuras y se basa en la colaboración por proyectos con estudiantes universitarios de la UMU remunerados por paquetes de trabajo con horas estimadas: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65"/>
        <w:gridCol w:w="2365"/>
        <w:gridCol w:w="2365"/>
        <w:gridCol w:w="2365"/>
      </w:tblGrid>
      <w:tr>
        <w:trPr>
          <w:tblHeader/>
          <w:cantSplit/>
        </w:trPr>
        <w:tc>
          <w:tcPr>
            <w:tcW w:type="dxa" w:w="2592"/>
            <w:shd w:fill="134074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6" w:space="0" w:color="1E3A8A"/>
              <w:left w:val="single" w:sz="6" w:space="0" w:color="1E3A8A"/>
              <w:bottom w:val="single" w:sz="6" w:space="0" w:color="1E3A8A"/>
              <w:right w:val="single" w:sz="6" w:space="0" w:color="1E3A8A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7"/>
              </w:rPr>
              <w:t>Fase del Proyecto</w:t>
            </w:r>
          </w:p>
        </w:tc>
        <w:tc>
          <w:tcPr>
            <w:tcW w:type="dxa" w:w="2592"/>
            <w:shd w:fill="134074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6" w:space="0" w:color="1E3A8A"/>
              <w:left w:val="single" w:sz="6" w:space="0" w:color="1E3A8A"/>
              <w:bottom w:val="single" w:sz="6" w:space="0" w:color="1E3A8A"/>
              <w:right w:val="single" w:sz="6" w:space="0" w:color="1E3A8A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7"/>
              </w:rPr>
              <w:t>Estructura del Equipo</w:t>
            </w:r>
          </w:p>
        </w:tc>
        <w:tc>
          <w:tcPr>
            <w:tcW w:type="dxa" w:w="2880"/>
            <w:shd w:fill="134074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6" w:space="0" w:color="1E3A8A"/>
              <w:left w:val="single" w:sz="6" w:space="0" w:color="1E3A8A"/>
              <w:bottom w:val="single" w:sz="6" w:space="0" w:color="1E3A8A"/>
              <w:right w:val="single" w:sz="6" w:space="0" w:color="1E3A8A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7"/>
              </w:rPr>
              <w:t>Mecanismo de Colaboración UMU</w:t>
            </w:r>
          </w:p>
        </w:tc>
        <w:tc>
          <w:tcPr>
            <w:tcW w:type="dxa" w:w="2304"/>
            <w:shd w:fill="134074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6" w:space="0" w:color="1E3A8A"/>
              <w:left w:val="single" w:sz="6" w:space="0" w:color="1E3A8A"/>
              <w:bottom w:val="single" w:sz="6" w:space="0" w:color="1E3A8A"/>
              <w:right w:val="single" w:sz="6" w:space="0" w:color="1E3A8A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7"/>
              </w:rPr>
              <w:t>Presupuesto Asignado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F2937"/>
                <w:sz w:val="17"/>
              </w:rPr>
              <w:t>Fase 0: Backstage (Pre-Empresa)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F2937"/>
                <w:sz w:val="17"/>
              </w:rPr>
              <w:t>1 Fundador (100% dedicación técnica)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F2937"/>
                <w:sz w:val="17"/>
              </w:rPr>
              <w:t>Alumnos TFG/TFM y docentes UMU en investigación pura</w:t>
            </w:r>
          </w:p>
        </w:tc>
        <w:tc>
          <w:tcPr>
            <w:tcW w:type="dxa" w:w="2304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F2937"/>
                <w:sz w:val="17"/>
              </w:rPr>
              <w:t>0 € (Investigación Académica)</w:t>
              <w:br/>
              <w:t>Costes dev: ~50-150 €/mes personal</w:t>
            </w:r>
          </w:p>
        </w:tc>
      </w:tr>
      <w:tr>
        <w:trPr>
          <w:cantSplit/>
        </w:trPr>
        <w:tc>
          <w:tcPr>
            <w:tcW w:type="dxa" w:w="2592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F2937"/>
                <w:sz w:val="17"/>
              </w:rPr>
              <w:t>Fase 1: Creación SL y Lanzamiento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F2937"/>
                <w:sz w:val="17"/>
              </w:rPr>
              <w:t>1 Fundador + Grupos de Trabajo UMU</w:t>
            </w:r>
          </w:p>
        </w:tc>
        <w:tc>
          <w:tcPr>
            <w:tcW w:type="dxa" w:w="2880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F2937"/>
                <w:sz w:val="17"/>
              </w:rPr>
              <w:t>Estudiantes UMU para QA, etiquetado y soporte técnico de salida</w:t>
            </w:r>
          </w:p>
        </w:tc>
        <w:tc>
          <w:tcPr>
            <w:tcW w:type="dxa" w:w="2304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F2937"/>
                <w:sz w:val="17"/>
              </w:rPr>
              <w:t>2.500 € (Partida cerrada para paquetes de trabajo UMU)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F2937"/>
                <w:sz w:val="17"/>
              </w:rPr>
              <w:t>Fase 2: Comprobación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F2937"/>
                <w:sz w:val="17"/>
              </w:rPr>
              <w:t>1 Fundador + 2 Estudiantes UMU activos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F2937"/>
                <w:sz w:val="17"/>
              </w:rPr>
              <w:t>Trabajos específicos de soporte al cliente, análisis y contenidos</w:t>
            </w:r>
          </w:p>
        </w:tc>
        <w:tc>
          <w:tcPr>
            <w:tcW w:type="dxa" w:w="2304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F2937"/>
                <w:sz w:val="17"/>
              </w:rPr>
              <w:t>1.000 – 1.500 € / mes en colaboraciones por proyectos</w:t>
            </w:r>
          </w:p>
        </w:tc>
      </w:tr>
      <w:tr>
        <w:trPr>
          <w:cantSplit/>
        </w:trPr>
        <w:tc>
          <w:tcPr>
            <w:tcW w:type="dxa" w:w="2592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F2937"/>
                <w:sz w:val="17"/>
              </w:rPr>
              <w:t>Fase 3: Expansión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F2937"/>
                <w:sz w:val="17"/>
              </w:rPr>
              <w:t>1 Fundador + 1 Dev Junior + Colaboradores</w:t>
            </w:r>
          </w:p>
        </w:tc>
        <w:tc>
          <w:tcPr>
            <w:tcW w:type="dxa" w:w="2880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F2937"/>
                <w:sz w:val="17"/>
              </w:rPr>
              <w:t>Incorporación formal del primer dev junior / auditor de datos de la cantera UMU</w:t>
            </w:r>
          </w:p>
        </w:tc>
        <w:tc>
          <w:tcPr>
            <w:tcW w:type="dxa" w:w="2304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F2937"/>
                <w:sz w:val="17"/>
              </w:rPr>
              <w:t>2.000 – 2.500 € / mes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F2937"/>
                <w:sz w:val="17"/>
              </w:rPr>
              <w:t>Fase 4: Consolidación (Año 2)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F2937"/>
                <w:sz w:val="17"/>
              </w:rPr>
              <w:t>Equipo de 3-4 personas (Fundador + 2-3 técnicos)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F2937"/>
                <w:sz w:val="17"/>
              </w:rPr>
              <w:t>Convenios de prácticas remuneradas continuas con la UMU</w:t>
            </w:r>
          </w:p>
        </w:tc>
        <w:tc>
          <w:tcPr>
            <w:tcW w:type="dxa" w:w="2304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F2937"/>
                <w:sz w:val="17"/>
              </w:rPr>
              <w:t>Sostenido por ingresos comerciales (&gt;85% margen)</w:t>
            </w:r>
          </w:p>
        </w:tc>
      </w:tr>
      <w:tr>
        <w:trPr>
          <w:cantSplit/>
        </w:trPr>
        <w:tc>
          <w:tcPr>
            <w:tcW w:type="dxa" w:w="2592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F2937"/>
                <w:sz w:val="17"/>
              </w:rPr>
              <w:t>Fase 5: Evolución EAF (Año 3)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F2937"/>
                <w:sz w:val="17"/>
              </w:rPr>
              <w:t>Equipo STATER + Responsable de Asesoramiento EAF</w:t>
            </w:r>
          </w:p>
        </w:tc>
        <w:tc>
          <w:tcPr>
            <w:tcW w:type="dxa" w:w="2880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F2937"/>
                <w:sz w:val="17"/>
              </w:rPr>
              <w:t>Personal certificado MiFID II + Asesoría externa de cumplimiento</w:t>
            </w:r>
          </w:p>
        </w:tc>
        <w:tc>
          <w:tcPr>
            <w:tcW w:type="dxa" w:w="2304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F2937"/>
                <w:sz w:val="17"/>
              </w:rPr>
              <w:t>Financiado con la capitalización de la filial EAF</w:t>
            </w:r>
          </w:p>
        </w:tc>
      </w:tr>
    </w:tbl>
    <w:p>
      <w:pPr>
        <w:spacing w:after="80"/>
      </w:pPr>
    </w:p>
    <w:p>
      <w:pPr>
        <w:keepNext/>
        <w:spacing w:before="320" w:after="120"/>
      </w:pPr>
      <w:r>
        <w:rPr>
          <w:rFonts w:ascii="Segoe UI" w:hAnsi="Segoe UI"/>
          <w:b/>
          <w:color w:val="0B2545"/>
          <w:sz w:val="27"/>
        </w:rPr>
        <w:t>9. Matriz de Riesgos de Calendario y Medidas de Mitigación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65"/>
        <w:gridCol w:w="2365"/>
        <w:gridCol w:w="2365"/>
        <w:gridCol w:w="2365"/>
      </w:tblGrid>
      <w:tr>
        <w:trPr>
          <w:tblHeader/>
          <w:cantSplit/>
        </w:trPr>
        <w:tc>
          <w:tcPr>
            <w:tcW w:type="dxa" w:w="2592"/>
            <w:shd w:fill="134074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6" w:space="0" w:color="1E3A8A"/>
              <w:left w:val="single" w:sz="6" w:space="0" w:color="1E3A8A"/>
              <w:bottom w:val="single" w:sz="6" w:space="0" w:color="1E3A8A"/>
              <w:right w:val="single" w:sz="6" w:space="0" w:color="1E3A8A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7"/>
              </w:rPr>
              <w:t>Riesgo Identificado</w:t>
            </w:r>
          </w:p>
        </w:tc>
        <w:tc>
          <w:tcPr>
            <w:tcW w:type="dxa" w:w="1440"/>
            <w:shd w:fill="134074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6" w:space="0" w:color="1E3A8A"/>
              <w:left w:val="single" w:sz="6" w:space="0" w:color="1E3A8A"/>
              <w:bottom w:val="single" w:sz="6" w:space="0" w:color="1E3A8A"/>
              <w:right w:val="single" w:sz="6" w:space="0" w:color="1E3A8A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7"/>
              </w:rPr>
              <w:t>Fase Afectada</w:t>
            </w:r>
          </w:p>
        </w:tc>
        <w:tc>
          <w:tcPr>
            <w:tcW w:type="dxa" w:w="1728"/>
            <w:shd w:fill="134074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6" w:space="0" w:color="1E3A8A"/>
              <w:left w:val="single" w:sz="6" w:space="0" w:color="1E3A8A"/>
              <w:bottom w:val="single" w:sz="6" w:space="0" w:color="1E3A8A"/>
              <w:right w:val="single" w:sz="6" w:space="0" w:color="1E3A8A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7"/>
              </w:rPr>
              <w:t>Impacto Potencial</w:t>
            </w:r>
          </w:p>
        </w:tc>
        <w:tc>
          <w:tcPr>
            <w:tcW w:type="dxa" w:w="4320"/>
            <w:shd w:fill="134074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6" w:space="0" w:color="1E3A8A"/>
              <w:left w:val="single" w:sz="6" w:space="0" w:color="1E3A8A"/>
              <w:bottom w:val="single" w:sz="6" w:space="0" w:color="1E3A8A"/>
              <w:right w:val="single" w:sz="6" w:space="0" w:color="1E3A8A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7"/>
              </w:rPr>
              <w:t>Estrategia Preventiva de Mitigación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F2937"/>
                <w:sz w:val="17"/>
              </w:rPr>
              <w:t>Demora en la formalización de convenio con la UMU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F2937"/>
                <w:sz w:val="17"/>
              </w:rPr>
              <w:t>Fase 0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F2937"/>
                <w:sz w:val="17"/>
              </w:rPr>
              <w:t>Medio</w:t>
            </w:r>
          </w:p>
        </w:tc>
        <w:tc>
          <w:tcPr>
            <w:tcW w:type="dxa" w:w="4320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F2937"/>
                <w:sz w:val="17"/>
              </w:rPr>
              <w:t>El desarrollo técnico de los conectores ESEF avanza de forma autónoma; la validación UMU se incorpora como revisión de calidad sin frenar el código.</w:t>
            </w:r>
          </w:p>
        </w:tc>
      </w:tr>
      <w:tr>
        <w:trPr>
          <w:cantSplit/>
        </w:trPr>
        <w:tc>
          <w:tcPr>
            <w:tcW w:type="dxa" w:w="2592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F2937"/>
                <w:sz w:val="17"/>
              </w:rPr>
              <w:t>Complejidad en taxonomías locales de Italia o Países Bajos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F2937"/>
                <w:sz w:val="17"/>
              </w:rPr>
              <w:t>Fase 0</w:t>
            </w:r>
          </w:p>
        </w:tc>
        <w:tc>
          <w:tcPr>
            <w:tcW w:type="dxa" w:w="1728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F2937"/>
                <w:sz w:val="17"/>
              </w:rPr>
              <w:t>Bajo</w:t>
            </w:r>
          </w:p>
        </w:tc>
        <w:tc>
          <w:tcPr>
            <w:tcW w:type="dxa" w:w="4320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F2937"/>
                <w:sz w:val="17"/>
              </w:rPr>
              <w:t>Al basarse en el estándar canónico ESEF (Inline XBRL / NIIF-UE), el 90% del pipeline es común; solo varía el endpoint del repositorio OAM.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F2937"/>
                <w:sz w:val="17"/>
              </w:rPr>
              <w:t>Sobrecarga de trabajo en el lanzamiento comercial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F2937"/>
                <w:sz w:val="17"/>
              </w:rPr>
              <w:t>Fase 1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F2937"/>
                <w:sz w:val="17"/>
              </w:rPr>
              <w:t>Medio</w:t>
            </w:r>
          </w:p>
        </w:tc>
        <w:tc>
          <w:tcPr>
            <w:tcW w:type="dxa" w:w="4320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F2937"/>
                <w:sz w:val="17"/>
              </w:rPr>
              <w:t>La partida de 2.500 € para estudiantes de la UMU absorbe las tareas mecánicas de soporte, permitiendo al fundador centrarse en la captación B2B.</w:t>
            </w:r>
          </w:p>
        </w:tc>
      </w:tr>
      <w:tr>
        <w:trPr>
          <w:cantSplit/>
        </w:trPr>
        <w:tc>
          <w:tcPr>
            <w:tcW w:type="dxa" w:w="2592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F2937"/>
                <w:sz w:val="17"/>
              </w:rPr>
              <w:t>Fricción en la tramitación del expediente EAF ante la CNMV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F2937"/>
                <w:sz w:val="17"/>
              </w:rPr>
              <w:t>Fase 5</w:t>
            </w:r>
          </w:p>
        </w:tc>
        <w:tc>
          <w:tcPr>
            <w:tcW w:type="dxa" w:w="1728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F2937"/>
                <w:sz w:val="17"/>
              </w:rPr>
              <w:t>Bajo</w:t>
            </w:r>
          </w:p>
        </w:tc>
        <w:tc>
          <w:tcPr>
            <w:tcW w:type="dxa" w:w="4320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F2937"/>
                <w:sz w:val="17"/>
              </w:rPr>
              <w:t>La tramitación se inicia con 9 meses de antelación (Mes 27) y se delega en una firma de consultoría regulatoria con experiencia contrastada.</w:t>
            </w:r>
          </w:p>
        </w:tc>
      </w:tr>
    </w:tbl>
    <w:p>
      <w:pPr>
        <w:spacing w:after="80"/>
      </w:pPr>
    </w:p>
    <w:p>
      <w:pPr>
        <w:keepNext/>
        <w:spacing w:before="320" w:after="120"/>
      </w:pPr>
      <w:r>
        <w:rPr>
          <w:rFonts w:ascii="Segoe UI" w:hAnsi="Segoe UI"/>
          <w:b/>
          <w:color w:val="0B2545"/>
          <w:sz w:val="27"/>
        </w:rPr>
        <w:t>10. Sincronización con el Plan Retail y Ecosistema Institucional</w:t>
      </w:r>
    </w:p>
    <w:p>
      <w:pPr>
        <w:spacing w:after="80" w:before="0" w:line="276" w:lineRule="auto"/>
      </w:pPr>
      <w:r>
        <w:rPr>
          <w:rFonts w:ascii="Segoe UI" w:hAnsi="Segoe UI"/>
          <w:i w:val="0"/>
          <w:color w:val="1F2937"/>
          <w:sz w:val="19"/>
        </w:rPr>
        <w:t>Esta hoja de ruta técnica encaja de forma milimétrica con los planes comerciales ya aprobados:</w:t>
      </w:r>
    </w:p>
    <w:p>
      <w:pPr>
        <w:pStyle w:val="ListBullet"/>
        <w:spacing w:after="60" w:before="0" w:line="276" w:lineRule="auto"/>
        <w:ind w:left="360"/>
      </w:pPr>
      <w:r>
        <w:rPr>
          <w:rFonts w:ascii="Segoe UI" w:hAnsi="Segoe UI"/>
          <w:b/>
          <w:color w:val="1F2937"/>
          <w:sz w:val="19"/>
        </w:rPr>
        <w:t xml:space="preserve">• Sincronización con Plan Retail: </w:t>
      </w:r>
      <w:r>
        <w:rPr>
          <w:rFonts w:ascii="Segoe UI" w:hAnsi="Segoe UI"/>
          <w:color w:val="1F2937"/>
          <w:sz w:val="19"/>
        </w:rPr>
        <w:t>En la Fase 0, mientras el software se construye, no se lanzan campañas públicas ni se gasta presupuesto en publicidad. En la Fase 1, la web debuta con el catálogo completo de 4 cursos, el software descargable y los datos de 5 países listos.</w:t>
      </w:r>
    </w:p>
    <w:p>
      <w:pPr>
        <w:pStyle w:val="ListBullet"/>
        <w:spacing w:after="60" w:before="0" w:line="276" w:lineRule="auto"/>
        <w:ind w:left="360"/>
      </w:pPr>
      <w:r>
        <w:rPr>
          <w:rFonts w:ascii="Segoe UI" w:hAnsi="Segoe UI"/>
          <w:b/>
          <w:color w:val="1F2937"/>
          <w:sz w:val="19"/>
        </w:rPr>
        <w:t xml:space="preserve">• Sincronización con Mapa Institucional B2B: </w:t>
      </w:r>
      <w:r>
        <w:rPr>
          <w:rFonts w:ascii="Segoe UI" w:hAnsi="Segoe UI"/>
          <w:color w:val="1F2937"/>
          <w:sz w:val="19"/>
        </w:rPr>
        <w:t>Las 5 cuentas Founder vitalicias y los 20 pilotos se activan el Día 1 de la Fase 1 sobre bases de datos totalmente pobladas y verificadas, garantizando una primera impresión institucional impecable.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224" w:right="1224" w:bottom="122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Segoe UI" w:hAnsi="Segoe UI"/>
        <w:color w:val="78909C"/>
        <w:sz w:val="16"/>
      </w:rPr>
      <w:t>Documento Técnico y de Planificación Estratégica · Versión 2.0 Definitiva (Fase 0 Pre-Empresa UMU)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egoe UI" w:hAnsi="Segoe UI"/>
        <w:color w:val="78909C"/>
        <w:sz w:val="16"/>
      </w:rPr>
      <w:t>STATER 2.0 · HOJA DE RUTA TÉCNICA Y DE DATOS (ARGOS / SFI / EAF)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Segoe UI" w:hAnsi="Segoe UI"/>
      <w:color w:val="1F293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