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B2545"/>
          <w:sz w:val="34"/>
        </w:rPr>
        <w:t>INFORME JURÍDICO, CONTABLE, TÉCNICO Y EMPRESARIAL</w:t>
      </w:r>
    </w:p>
    <w:p>
      <w:pPr>
        <w:spacing w:before="40" w:after="40"/>
      </w:pPr>
      <w:r>
        <w:rPr>
          <w:rFonts w:ascii="Segoe UI" w:hAnsi="Segoe UI"/>
          <w:b/>
          <w:color w:val="134074"/>
          <w:sz w:val="24"/>
        </w:rPr>
        <w:t>Plataforma Europea de Datos Financieros, Auditoría y Sostenibilidad</w:t>
      </w:r>
    </w:p>
    <w:p>
      <w:pPr>
        <w:spacing w:before="40" w:after="200"/>
      </w:pPr>
      <w:r>
        <w:rPr>
          <w:rFonts w:ascii="Segoe UI" w:hAnsi="Segoe UI"/>
          <w:b/>
          <w:color w:val="64748B"/>
          <w:sz w:val="19"/>
        </w:rPr>
        <w:t>STATER · REX · LUMINIC FINANCE · INTRINSIC VALUE</w:t>
      </w:r>
    </w:p>
    <w:p>
      <w:pPr>
        <w:spacing w:after="80" w:before="0" w:line="276" w:lineRule="auto"/>
      </w:pPr>
      <w:r>
        <w:rPr>
          <w:rFonts w:ascii="Segoe UI" w:hAnsi="Segoe UI"/>
          <w:b/>
          <w:color w:val="1F2937"/>
          <w:sz w:val="19"/>
        </w:rPr>
        <w:t xml:space="preserve">Versión: </w:t>
      </w:r>
      <w:r>
        <w:rPr>
          <w:rFonts w:ascii="Segoe UI" w:hAnsi="Segoe UI"/>
          <w:i w:val="0"/>
          <w:color w:val="1F2937"/>
          <w:sz w:val="19"/>
        </w:rPr>
        <w:t>1.0</w:t>
      </w:r>
    </w:p>
    <w:p>
      <w:pPr>
        <w:spacing w:after="80" w:before="0" w:line="276" w:lineRule="auto"/>
      </w:pPr>
      <w:r>
        <w:rPr>
          <w:rFonts w:ascii="Segoe UI" w:hAnsi="Segoe UI"/>
          <w:b/>
          <w:color w:val="1F2937"/>
          <w:sz w:val="19"/>
        </w:rPr>
        <w:t xml:space="preserve">Fecha: </w:t>
      </w:r>
      <w:r>
        <w:rPr>
          <w:rFonts w:ascii="Segoe UI" w:hAnsi="Segoe UI"/>
          <w:i w:val="0"/>
          <w:color w:val="1F2937"/>
          <w:sz w:val="19"/>
        </w:rPr>
        <w:t>22 de agosto de 2026</w:t>
      </w:r>
    </w:p>
    <w:p>
      <w:pPr>
        <w:spacing w:after="80" w:before="0" w:line="276" w:lineRule="auto"/>
      </w:pPr>
      <w:r>
        <w:rPr>
          <w:rFonts w:ascii="Segoe UI" w:hAnsi="Segoe UI"/>
          <w:b/>
          <w:color w:val="1F2937"/>
          <w:sz w:val="19"/>
        </w:rPr>
        <w:t xml:space="preserve">Clasificación: </w:t>
      </w:r>
      <w:r>
        <w:rPr>
          <w:rFonts w:ascii="Segoe UI" w:hAnsi="Segoe UI"/>
          <w:i w:val="0"/>
          <w:color w:val="1F2937"/>
          <w:sz w:val="19"/>
        </w:rPr>
        <w:t>Confidencial — Uso del fundador y colaboradores designados</w:t>
      </w:r>
    </w:p>
    <w:p>
      <w:pPr>
        <w:spacing w:after="80" w:before="0" w:line="276" w:lineRule="auto"/>
      </w:pPr>
      <w:r>
        <w:rPr>
          <w:rFonts w:ascii="Segoe UI" w:hAnsi="Segoe UI"/>
          <w:b/>
          <w:color w:val="1F2937"/>
          <w:sz w:val="19"/>
        </w:rPr>
        <w:t xml:space="preserve">Elaborado por: </w:t>
      </w:r>
      <w:r>
        <w:rPr>
          <w:rFonts w:ascii="Segoe UI" w:hAnsi="Segoe UI"/>
          <w:i w:val="0"/>
          <w:color w:val="1F2937"/>
          <w:sz w:val="19"/>
        </w:rPr>
        <w:t>Antigravity IDE — Claude 3.7 Sonnet (IA encargada) y Fundador</w:t>
      </w:r>
    </w:p>
    <w:p>
      <w:pPr>
        <w:spacing w:after="80" w:before="0" w:line="276" w:lineRule="auto"/>
      </w:pPr>
      <w:r>
        <w:rPr>
          <w:rFonts w:ascii="Segoe UI" w:hAnsi="Segoe UI"/>
          <w:b/>
          <w:color w:val="1F2937"/>
          <w:sz w:val="19"/>
        </w:rPr>
        <w:t xml:space="preserve">Destinatario: </w:t>
      </w:r>
      <w:r>
        <w:rPr>
          <w:rFonts w:ascii="Segoe UI" w:hAnsi="Segoe UI"/>
          <w:i w:val="0"/>
          <w:color w:val="1F2937"/>
          <w:sz w:val="19"/>
        </w:rPr>
        <w:t>Fundador del proyecto / Director académico colaborador</w:t>
      </w:r>
    </w:p>
    <w:tbl>
      <w:tblPr>
        <w:tblW w:type="auto" w:w="0"/>
        <w:jc w:val="center"/>
        <w:tblLayout w:type="fixed"/>
        <w:tblLook w:firstColumn="1" w:firstRow="1" w:lastColumn="0" w:lastRow="0" w:noHBand="0" w:noVBand="1" w:val="04A0"/>
      </w:tblPr>
      <w:tblGrid>
        <w:gridCol w:w="9317"/>
      </w:tblGrid>
      <w:tr>
        <w:tc>
          <w:tcPr>
            <w:tcW w:type="dxa" w:w="9317"/>
            <w:shd w:fill="F0F4F8"/>
            <w:tcMar>
              <w:top w:w="120" w:type="dxa"/>
              <w:bottom w:w="120" w:type="dxa"/>
              <w:left w:w="180" w:type="dxa"/>
              <w:right w:w="160" w:type="dxa"/>
            </w:tcMar>
            <w:tcBorders>
              <w:top w:val="none" w:sz="24" w:space="0" w:color="134074"/>
              <w:left w:val="single" w:sz="24" w:space="0" w:color="134074"/>
              <w:bottom w:val="none" w:sz="24" w:space="0" w:color="134074"/>
              <w:right w:val="none" w:sz="24" w:space="0" w:color="134074"/>
            </w:tcBorders>
          </w:tcPr>
          <w:p>
            <w:pPr>
              <w:spacing w:after="0" w:before="0" w:line="276" w:lineRule="auto"/>
            </w:pPr>
            <w:r>
              <w:rPr>
                <w:rFonts w:ascii="Segoe UI" w:hAnsi="Segoe UI"/>
                <w:b/>
                <w:color w:val="0B2545"/>
                <w:sz w:val="19"/>
              </w:rPr>
              <w:t>Nota metodológica</w:t>
              <w:br/>
            </w:r>
            <w:r>
              <w:rPr>
                <w:rFonts w:ascii="Segoe UI" w:hAnsi="Segoe UI"/>
                <w:color w:val="1F2937"/>
                <w:sz w:val="18"/>
              </w:rPr>
              <w:t>Este informe ha sido elaborado siguiendo el protocolo de investigación previa del prompt maestro. Cada afirmación relevante está clasificada según su nivel de certeza. Este documento no constituye asesoramiento jurídico, contable ni financiero. Las secciones con impacto legal deben ser revisadas por abogado colegiado y, en su caso, por auditor o asesor fiscal antes de cualquier decisión empresarial o inversión.</w:t>
            </w:r>
          </w:p>
        </w:tc>
      </w:tr>
    </w:tbl>
    <w:p>
      <w:pPr>
        <w:spacing w:before="0" w:after="80"/>
      </w:pPr>
    </w:p>
    <w:p>
      <w:pPr>
        <w:keepNext/>
        <w:spacing w:before="240" w:after="80"/>
      </w:pPr>
      <w:r>
        <w:rPr>
          <w:rFonts w:ascii="Segoe UI" w:hAnsi="Segoe UI"/>
          <w:b/>
          <w:color w:val="134074"/>
          <w:sz w:val="23"/>
        </w:rPr>
        <w:t>ÍNDICE</w:t>
      </w:r>
    </w:p>
    <w:p>
      <w:pPr>
        <w:spacing w:after="40" w:before="0" w:line="276" w:lineRule="auto"/>
      </w:pPr>
      <w:r>
        <w:rPr>
          <w:rFonts w:ascii="Segoe UI" w:hAnsi="Segoe UI"/>
          <w:i w:val="0"/>
          <w:color w:val="1F2937"/>
          <w:sz w:val="19"/>
        </w:rPr>
        <w:t>1. Resumen ejecutivo</w:t>
      </w:r>
    </w:p>
    <w:p>
      <w:pPr>
        <w:spacing w:after="40" w:before="0" w:line="276" w:lineRule="auto"/>
      </w:pPr>
      <w:r>
        <w:rPr>
          <w:rFonts w:ascii="Segoe UI" w:hAnsi="Segoe UI"/>
          <w:i w:val="0"/>
          <w:color w:val="1F2937"/>
          <w:sz w:val="19"/>
        </w:rPr>
        <w:t>2. Marco contable y regulatorio europeo</w:t>
      </w:r>
    </w:p>
    <w:p>
      <w:pPr>
        <w:spacing w:after="40" w:before="0" w:line="276" w:lineRule="auto"/>
      </w:pPr>
      <w:r>
        <w:rPr>
          <w:rFonts w:ascii="Segoe UI" w:hAnsi="Segoe UI"/>
          <w:i w:val="0"/>
          <w:color w:val="1F2937"/>
          <w:sz w:val="19"/>
        </w:rPr>
        <w:t>3. Actividad legal permitida y límites regulatorios</w:t>
      </w:r>
    </w:p>
    <w:p>
      <w:pPr>
        <w:spacing w:after="40" w:before="0" w:line="276" w:lineRule="auto"/>
      </w:pPr>
      <w:r>
        <w:rPr>
          <w:rFonts w:ascii="Segoe UI" w:hAnsi="Segoe UI"/>
          <w:i w:val="0"/>
          <w:color w:val="1F2937"/>
          <w:sz w:val="19"/>
        </w:rPr>
        <w:t>4. Modelo de negocio y arquitectura de marca</w:t>
      </w:r>
    </w:p>
    <w:p>
      <w:pPr>
        <w:spacing w:after="40" w:before="0" w:line="276" w:lineRule="auto"/>
      </w:pPr>
      <w:r>
        <w:rPr>
          <w:rFonts w:ascii="Segoe UI" w:hAnsi="Segoe UI"/>
          <w:i w:val="0"/>
          <w:color w:val="1F2937"/>
          <w:sz w:val="19"/>
        </w:rPr>
        <w:t>5. Productos y distribución</w:t>
      </w:r>
    </w:p>
    <w:p>
      <w:pPr>
        <w:spacing w:after="40" w:before="0" w:line="276" w:lineRule="auto"/>
      </w:pPr>
      <w:r>
        <w:rPr>
          <w:rFonts w:ascii="Segoe UI" w:hAnsi="Segoe UI"/>
          <w:i w:val="0"/>
          <w:color w:val="1F2937"/>
          <w:sz w:val="19"/>
        </w:rPr>
        <w:t>6. Metodología técnica y arquitectura del sistema</w:t>
      </w:r>
    </w:p>
    <w:p>
      <w:pPr>
        <w:spacing w:after="40" w:before="0" w:line="276" w:lineRule="auto"/>
      </w:pPr>
      <w:r>
        <w:rPr>
          <w:rFonts w:ascii="Segoe UI" w:hAnsi="Segoe UI"/>
          <w:i w:val="0"/>
          <w:color w:val="1F2937"/>
          <w:sz w:val="19"/>
        </w:rPr>
        <w:t>7. Infraestructura progresiva</w:t>
      </w:r>
    </w:p>
    <w:p>
      <w:pPr>
        <w:spacing w:after="40" w:before="0" w:line="276" w:lineRule="auto"/>
      </w:pPr>
      <w:r>
        <w:rPr>
          <w:rFonts w:ascii="Segoe UI" w:hAnsi="Segoe UI"/>
          <w:i w:val="0"/>
          <w:color w:val="1F2937"/>
          <w:sz w:val="19"/>
        </w:rPr>
        <w:t>8. Economía del proyecto y punto de equilibrio</w:t>
      </w:r>
    </w:p>
    <w:p>
      <w:pPr>
        <w:spacing w:after="40" w:before="0" w:line="276" w:lineRule="auto"/>
      </w:pPr>
      <w:r>
        <w:rPr>
          <w:rFonts w:ascii="Segoe UI" w:hAnsi="Segoe UI"/>
          <w:i w:val="0"/>
          <w:color w:val="1F2937"/>
          <w:sz w:val="19"/>
        </w:rPr>
        <w:t>9. Colaboraciones y ecosistema</w:t>
      </w:r>
    </w:p>
    <w:p>
      <w:pPr>
        <w:spacing w:after="40" w:before="0" w:line="276" w:lineRule="auto"/>
      </w:pPr>
      <w:r>
        <w:rPr>
          <w:rFonts w:ascii="Segoe UI" w:hAnsi="Segoe UI"/>
          <w:i w:val="0"/>
          <w:color w:val="1F2937"/>
          <w:sz w:val="19"/>
        </w:rPr>
        <w:t>10. Público objetivo y diseño de productos diferenciados</w:t>
      </w:r>
    </w:p>
    <w:p>
      <w:pPr>
        <w:spacing w:after="40" w:before="0" w:line="276" w:lineRule="auto"/>
      </w:pPr>
      <w:r>
        <w:rPr>
          <w:rFonts w:ascii="Segoe UI" w:hAnsi="Segoe UI"/>
          <w:i w:val="0"/>
          <w:color w:val="1F2937"/>
          <w:sz w:val="19"/>
        </w:rPr>
        <w:t>11. Roadmap de ejecución</w:t>
      </w:r>
    </w:p>
    <w:p>
      <w:pPr>
        <w:spacing w:after="40" w:before="0" w:line="276" w:lineRule="auto"/>
      </w:pPr>
      <w:r>
        <w:rPr>
          <w:rFonts w:ascii="Segoe UI" w:hAnsi="Segoe UI"/>
          <w:i w:val="0"/>
          <w:color w:val="1F2937"/>
          <w:sz w:val="19"/>
        </w:rPr>
        <w:t>12. Riesgos y mitigación</w:t>
      </w:r>
    </w:p>
    <w:p>
      <w:pPr>
        <w:spacing w:after="40" w:before="0" w:line="276" w:lineRule="auto"/>
      </w:pPr>
      <w:r>
        <w:rPr>
          <w:rFonts w:ascii="Segoe UI" w:hAnsi="Segoe UI"/>
          <w:i w:val="0"/>
          <w:color w:val="1F2937"/>
          <w:sz w:val="19"/>
        </w:rPr>
        <w:t>13. Conclusión y próximos pasos críticos</w:t>
      </w:r>
    </w:p>
    <w:p>
      <w:pPr>
        <w:spacing w:after="40" w:before="0" w:line="276" w:lineRule="auto"/>
      </w:pPr>
      <w:r>
        <w:rPr>
          <w:rFonts w:ascii="Segoe UI" w:hAnsi="Segoe UI"/>
          <w:i w:val="0"/>
          <w:color w:val="1F2937"/>
          <w:sz w:val="19"/>
        </w:rPr>
        <w:t>14. Necesidad de asesoría legal entorno al proyecto con el informe de descarga de toda la documentación legal de las bolsas europeas</w:t>
      </w:r>
    </w:p>
    <w:p>
      <w:pPr>
        <w:spacing w:after="40" w:before="0" w:line="276" w:lineRule="auto"/>
      </w:pPr>
      <w:r>
        <w:rPr>
          <w:rFonts w:ascii="Segoe UI" w:hAnsi="Segoe UI"/>
          <w:i w:val="0"/>
          <w:color w:val="1F2937"/>
          <w:sz w:val="19"/>
        </w:rPr>
        <w:t>15. Dictamen jurídico-contractual detallado por fuente, régimen de datos derivados y auditoría integral de STATER / REX</w:t>
      </w:r>
    </w:p>
    <w:p>
      <w:pPr>
        <w:keepNext/>
        <w:spacing w:before="320" w:after="120"/>
      </w:pPr>
      <w:r>
        <w:rPr>
          <w:rFonts w:ascii="Segoe UI" w:hAnsi="Segoe UI"/>
          <w:b/>
          <w:color w:val="0B2545"/>
          <w:sz w:val="28"/>
        </w:rPr>
        <w:t>RESUMEN EJECUTIVO</w:t>
      </w:r>
    </w:p>
    <w:p>
      <w:pPr>
        <w:keepNext/>
        <w:spacing w:before="240" w:after="80"/>
      </w:pPr>
      <w:r>
        <w:rPr>
          <w:rFonts w:ascii="Segoe UI" w:hAnsi="Segoe UI"/>
          <w:b/>
          <w:color w:val="134074"/>
          <w:sz w:val="23"/>
        </w:rPr>
        <w:t>Problema</w:t>
      </w:r>
    </w:p>
    <w:p>
      <w:pPr>
        <w:spacing w:after="80" w:before="0" w:line="276" w:lineRule="auto"/>
      </w:pPr>
      <w:r>
        <w:rPr>
          <w:rFonts w:ascii="Segoe UI" w:hAnsi="Segoe UI"/>
          <w:i w:val="0"/>
          <w:color w:val="1F2937"/>
          <w:sz w:val="19"/>
        </w:rPr>
        <w:t>El acceso a la auditoría, sostenibilidad e información financiera de las empresas europeas cotizadas es público aunque dificultoso y semifragmentado en 27 repositorios nacionales heterogéneos (denominados Mecanismos Oficialmente Designados u OAM), presentada en formatos no uniformes, redactada en idiomas locales, con niveles desiguales de estructuración ESEF/XBRL y sin una API unificada operativa hasta 2027 como mínimo (ESAP, Reglamento 2023/2859).</w:t>
      </w:r>
    </w:p>
    <w:p>
      <w:pPr>
        <w:spacing w:after="80" w:before="0" w:line="276" w:lineRule="auto"/>
      </w:pPr>
      <w:r>
        <w:rPr>
          <w:rFonts w:ascii="Segoe UI" w:hAnsi="Segoe UI"/>
          <w:i w:val="0"/>
          <w:color w:val="1F2937"/>
          <w:sz w:val="19"/>
        </w:rPr>
        <w:t>Las plataformas comerciales globales (Bloomberg, LSEG, FactSet, S&amp;P Capital IQ) resuelven este problema para grandes instituciones financieras a costes de 25.000–50.000 euros por usuario y año. Ninguna lo resuelve con trazabilidad documental completa, cobertura profunda de Small y Mid Caps europeas y precio accesible para investigadores, gestoras boutique o inversores retail avanzados.</w:t>
      </w:r>
    </w:p>
    <w:p>
      <w:pPr>
        <w:keepNext/>
        <w:spacing w:before="240" w:after="80"/>
      </w:pPr>
      <w:r>
        <w:rPr>
          <w:rFonts w:ascii="Segoe UI" w:hAnsi="Segoe UI"/>
          <w:b/>
          <w:color w:val="134074"/>
          <w:sz w:val="23"/>
        </w:rPr>
        <w:t>Oportunidad</w:t>
      </w:r>
    </w:p>
    <w:p>
      <w:pPr>
        <w:spacing w:after="80" w:before="0" w:line="276" w:lineRule="auto"/>
      </w:pPr>
      <w:r>
        <w:rPr>
          <w:rFonts w:ascii="Segoe UI" w:hAnsi="Segoe UI"/>
          <w:i w:val="0"/>
          <w:color w:val="1F2937"/>
          <w:sz w:val="19"/>
        </w:rPr>
        <w:t>La convergencia de tres factores crea una ventana de oportunidad única entre 2026 y 2029:</w:t>
      </w:r>
    </w:p>
    <w:p>
      <w:pPr>
        <w:pStyle w:val="ListBullet"/>
        <w:spacing w:after="60" w:before="0" w:line="276" w:lineRule="auto"/>
        <w:ind w:left="360"/>
      </w:pPr>
      <w:r>
        <w:rPr>
          <w:rFonts w:ascii="Segoe UI" w:hAnsi="Segoe UI"/>
          <w:b/>
          <w:color w:val="1F2937"/>
          <w:sz w:val="19"/>
        </w:rPr>
        <w:t xml:space="preserve">1. La Directiva CSRD (UE 2022/2464) </w:t>
      </w:r>
      <w:r>
        <w:rPr>
          <w:rFonts w:ascii="Segoe UI" w:hAnsi="Segoe UI"/>
          <w:color w:val="1F2937"/>
          <w:sz w:val="19"/>
        </w:rPr>
        <w:t>incorpora progresivamente a más de 50.000 empresas europeas a la obligación de publicar información de sostenibilidad estructurada bajo estándares ESRS.</w:t>
      </w:r>
    </w:p>
    <w:p>
      <w:pPr>
        <w:pStyle w:val="ListBullet"/>
        <w:spacing w:after="60" w:before="0" w:line="276" w:lineRule="auto"/>
        <w:ind w:left="360"/>
      </w:pPr>
      <w:r>
        <w:rPr>
          <w:rFonts w:ascii="Segoe UI" w:hAnsi="Segoe UI"/>
          <w:b/>
          <w:color w:val="1F2937"/>
          <w:sz w:val="19"/>
        </w:rPr>
        <w:t xml:space="preserve">2. El Reglamento ESEF (aplicable desde 2020 para cotizadas en mercados regulados) </w:t>
      </w:r>
      <w:r>
        <w:rPr>
          <w:rFonts w:ascii="Segoe UI" w:hAnsi="Segoe UI"/>
          <w:color w:val="1F2937"/>
          <w:sz w:val="19"/>
        </w:rPr>
        <w:t>ha generado un corpus creciente de informes financieros en Inline XBRL que aún no ha sido explotado sistemáticamente en Small y Mid Caps.</w:t>
      </w:r>
    </w:p>
    <w:p>
      <w:pPr>
        <w:pStyle w:val="ListBullet"/>
        <w:spacing w:after="60" w:before="0" w:line="276" w:lineRule="auto"/>
        <w:ind w:left="360"/>
      </w:pPr>
      <w:r>
        <w:rPr>
          <w:rFonts w:ascii="Segoe UI" w:hAnsi="Segoe UI"/>
          <w:b/>
          <w:color w:val="1F2937"/>
          <w:sz w:val="19"/>
        </w:rPr>
        <w:t xml:space="preserve">3. El ESAP (Reglamento 2023/2859) </w:t>
      </w:r>
      <w:r>
        <w:rPr>
          <w:rFonts w:ascii="Segoe UI" w:hAnsi="Segoe UI"/>
          <w:color w:val="1F2937"/>
          <w:sz w:val="19"/>
        </w:rPr>
        <w:t>inicia la recopilación de datos en julio de 2026 pero no ofrecerá acceso público hasta julio de 2027, dejando un vacío operativo que puede cubrirse antes para crear mercado y marca antes que nadie en España.</w:t>
      </w:r>
    </w:p>
    <w:p>
      <w:pPr>
        <w:keepNext/>
        <w:spacing w:before="240" w:after="80"/>
      </w:pPr>
      <w:r>
        <w:rPr>
          <w:rFonts w:ascii="Segoe UI" w:hAnsi="Segoe UI"/>
          <w:b/>
          <w:color w:val="134074"/>
          <w:sz w:val="23"/>
        </w:rPr>
        <w:t>Propuesta</w:t>
      </w:r>
    </w:p>
    <w:p>
      <w:pPr>
        <w:spacing w:after="80" w:before="0" w:line="276" w:lineRule="auto"/>
      </w:pPr>
      <w:r>
        <w:rPr>
          <w:rFonts w:ascii="Segoe UI" w:hAnsi="Segoe UI"/>
          <w:i w:val="0"/>
          <w:color w:val="1F2937"/>
          <w:sz w:val="19"/>
        </w:rPr>
        <w:t>STATER es una empresa española de transformación y análisis de información financiera, de auditoría y de sostenibilidad europea. Opera bajo tres líneas de producto con marcas diferenciadas:</w:t>
      </w:r>
    </w:p>
    <w:p>
      <w:pPr>
        <w:pStyle w:val="ListBullet"/>
        <w:spacing w:after="60" w:before="0" w:line="276" w:lineRule="auto"/>
        <w:ind w:left="360"/>
      </w:pPr>
      <w:r>
        <w:rPr>
          <w:rFonts w:ascii="Segoe UI" w:hAnsi="Segoe UI"/>
          <w:b/>
          <w:color w:val="1F2937"/>
          <w:sz w:val="19"/>
        </w:rPr>
        <w:t xml:space="preserve">REX: </w:t>
      </w:r>
      <w:r>
        <w:rPr>
          <w:rFonts w:ascii="Segoe UI" w:hAnsi="Segoe UI"/>
          <w:color w:val="1F2937"/>
          <w:sz w:val="19"/>
        </w:rPr>
        <w:t>Motor de datos estructurados paneuropeo. Convierte filings regulatorios públicos en datos normalizados, comparables y con trazabilidad criptográfica.</w:t>
      </w:r>
    </w:p>
    <w:p>
      <w:pPr>
        <w:pStyle w:val="ListBullet"/>
        <w:spacing w:after="60" w:before="0" w:line="276" w:lineRule="auto"/>
        <w:ind w:left="360"/>
      </w:pPr>
      <w:r>
        <w:rPr>
          <w:rFonts w:ascii="Segoe UI" w:hAnsi="Segoe UI"/>
          <w:b/>
          <w:color w:val="1F2937"/>
          <w:sz w:val="19"/>
        </w:rPr>
        <w:t xml:space="preserve">Intrinsic Value: </w:t>
      </w:r>
      <w:r>
        <w:rPr>
          <w:rFonts w:ascii="Segoe UI" w:hAnsi="Segoe UI"/>
          <w:color w:val="1F2937"/>
          <w:sz w:val="19"/>
        </w:rPr>
        <w:t>Paquete de investigación y datasets premium para inversores institucionales, gestoras y consultoras, complementado con análisis independiente de empresas detectadas por el laboratorio SFI.</w:t>
      </w:r>
    </w:p>
    <w:p>
      <w:pPr>
        <w:pStyle w:val="ListBullet"/>
        <w:spacing w:after="60" w:before="0" w:line="276" w:lineRule="auto"/>
        <w:ind w:left="360"/>
      </w:pPr>
      <w:r>
        <w:rPr>
          <w:rFonts w:ascii="Segoe UI" w:hAnsi="Segoe UI"/>
          <w:b/>
          <w:color w:val="1F2937"/>
          <w:sz w:val="19"/>
        </w:rPr>
        <w:t xml:space="preserve">Luminic Finance (o nombre definitivo): </w:t>
      </w:r>
      <w:r>
        <w:rPr>
          <w:rFonts w:ascii="Segoe UI" w:hAnsi="Segoe UI"/>
          <w:color w:val="1F2937"/>
          <w:sz w:val="19"/>
        </w:rPr>
        <w:t>Plataforma educativa. Formación en análisis fundamental, Python financiero, ESG, inversión sistemática y preparación de contenidos relacionados con certificaciones como EFPA y CFA.</w:t>
      </w:r>
    </w:p>
    <w:p>
      <w:pPr>
        <w:keepNext/>
        <w:spacing w:before="240" w:after="80"/>
      </w:pPr>
      <w:r>
        <w:rPr>
          <w:rFonts w:ascii="Segoe UI" w:hAnsi="Segoe UI"/>
          <w:b/>
          <w:color w:val="134074"/>
          <w:sz w:val="23"/>
        </w:rPr>
        <w:t>Público objetivo</w:t>
      </w:r>
    </w:p>
    <w:tbl>
      <w:tblPr>
        <w:tblW w:type="auto" w:w="0"/>
        <w:jc w:val="center"/>
        <w:tblLayout w:type="fixed"/>
        <w:tblLook w:firstColumn="1" w:firstRow="1" w:lastColumn="0" w:lastRow="0" w:noHBand="0" w:noVBand="1" w:val="04A0"/>
      </w:tblPr>
      <w:tblGrid>
        <w:gridCol w:w="3106"/>
        <w:gridCol w:w="3106"/>
        <w:gridCol w:w="3106"/>
      </w:tblGrid>
      <w:tr>
        <w:trPr>
          <w:tblHeader/>
          <w:cantSplit/>
        </w:trPr>
        <w:tc>
          <w:tcPr>
            <w:tcW w:type="dxa" w:w="2880"/>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Segmento</w:t>
            </w:r>
          </w:p>
        </w:tc>
        <w:tc>
          <w:tcPr>
            <w:tcW w:type="dxa" w:w="403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Necesidad principal</w:t>
            </w:r>
          </w:p>
        </w:tc>
        <w:tc>
          <w:tcPr>
            <w:tcW w:type="dxa" w:w="3456"/>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Producto</w:t>
            </w:r>
          </w:p>
        </w:tc>
      </w:tr>
      <w:tr>
        <w:trPr>
          <w:cantSplit/>
        </w:trPr>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Inversor retail avanzado</w:t>
            </w:r>
          </w:p>
        </w:tc>
        <w:tc>
          <w:tcPr>
            <w:tcW w:type="dxa" w:w="403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Entender los datos de las empresas</w:t>
            </w:r>
          </w:p>
        </w:tc>
        <w:tc>
          <w:tcPr>
            <w:tcW w:type="dxa" w:w="345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REX Portal gratuito + formación</w:t>
            </w:r>
          </w:p>
        </w:tc>
      </w:tr>
      <w:tr>
        <w:trPr>
          <w:cantSplit/>
        </w:trPr>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Investigador y académico</w:t>
            </w:r>
          </w:p>
        </w:tc>
        <w:tc>
          <w:tcPr>
            <w:tcW w:type="dxa" w:w="403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Dataset documentado, reproducible</w:t>
            </w:r>
          </w:p>
        </w:tc>
        <w:tc>
          <w:tcPr>
            <w:tcW w:type="dxa" w:w="345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Dataset CSV/Parquet + API académica</w:t>
            </w:r>
          </w:p>
        </w:tc>
      </w:tr>
      <w:tr>
        <w:trPr>
          <w:cantSplit/>
        </w:trPr>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Gestora boutique / EAF</w:t>
            </w:r>
          </w:p>
        </w:tc>
        <w:tc>
          <w:tcPr>
            <w:tcW w:type="dxa" w:w="403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Screening, ESG, KAM, ratios, API</w:t>
            </w:r>
          </w:p>
        </w:tc>
        <w:tc>
          <w:tcPr>
            <w:tcW w:type="dxa" w:w="345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REX institucional + Intrinsic Value</w:t>
            </w:r>
          </w:p>
        </w:tc>
      </w:tr>
      <w:tr>
        <w:trPr>
          <w:cantSplit/>
        </w:trPr>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Fintech / desarrollador</w:t>
            </w:r>
          </w:p>
        </w:tc>
        <w:tc>
          <w:tcPr>
            <w:tcW w:type="dxa" w:w="403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API REST, webhooks, JSON limpio</w:t>
            </w:r>
          </w:p>
        </w:tc>
        <w:tc>
          <w:tcPr>
            <w:tcW w:type="dxa" w:w="345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REX API comercial</w:t>
            </w:r>
          </w:p>
        </w:tc>
      </w:tr>
      <w:tr>
        <w:trPr>
          <w:cantSplit/>
        </w:trPr>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Empresa emisora</w:t>
            </w:r>
          </w:p>
        </w:tc>
        <w:tc>
          <w:tcPr>
            <w:tcW w:type="dxa" w:w="403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Benchmarking propio, visibilidad</w:t>
            </w:r>
          </w:p>
        </w:tc>
        <w:tc>
          <w:tcPr>
            <w:tcW w:type="dxa" w:w="345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REX Emisor (producto diferenciado)</w:t>
            </w:r>
          </w:p>
        </w:tc>
      </w:tr>
      <w:tr>
        <w:trPr>
          <w:cantSplit/>
        </w:trPr>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Estudiante y formación</w:t>
            </w:r>
          </w:p>
        </w:tc>
        <w:tc>
          <w:tcPr>
            <w:tcW w:type="dxa" w:w="403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Python, análisis, EFPA, CFA</w:t>
            </w:r>
          </w:p>
        </w:tc>
        <w:tc>
          <w:tcPr>
            <w:tcW w:type="dxa" w:w="345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Luminic Finance</w:t>
            </w:r>
          </w:p>
        </w:tc>
      </w:tr>
    </w:tbl>
    <w:p>
      <w:pPr>
        <w:spacing w:after="80"/>
      </w:pPr>
    </w:p>
    <w:p>
      <w:pPr>
        <w:keepNext/>
        <w:spacing w:before="240" w:after="80"/>
      </w:pPr>
      <w:r>
        <w:rPr>
          <w:rFonts w:ascii="Segoe UI" w:hAnsi="Segoe UI"/>
          <w:b/>
          <w:color w:val="134074"/>
          <w:sz w:val="23"/>
        </w:rPr>
        <w:t>Riesgos principales</w:t>
      </w:r>
    </w:p>
    <w:p>
      <w:pPr>
        <w:pStyle w:val="ListBullet"/>
        <w:spacing w:after="60" w:before="0" w:line="276" w:lineRule="auto"/>
        <w:ind w:left="360"/>
      </w:pPr>
      <w:r>
        <w:rPr>
          <w:rFonts w:ascii="Segoe UI" w:hAnsi="Segoe UI"/>
          <w:b/>
          <w:color w:val="1F2937"/>
          <w:sz w:val="19"/>
        </w:rPr>
        <w:t xml:space="preserve">1. Posicionamiento SFI: </w:t>
      </w:r>
      <w:r>
        <w:rPr>
          <w:rFonts w:ascii="Segoe UI" w:hAnsi="Segoe UI"/>
          <w:color w:val="1F2937"/>
          <w:sz w:val="19"/>
        </w:rPr>
        <w:t>el módulo SFI opera como un modelo de estudio general que aplica variables y áreas de estudio de la empresa para detectar valor y reversión positiva de rentabilidad a gran escala, en formato de laboratorio educativo y académico, sin emisión de señales en vivo bajo MAR.</w:t>
      </w:r>
    </w:p>
    <w:p>
      <w:pPr>
        <w:pStyle w:val="ListBullet"/>
        <w:spacing w:after="60" w:before="0" w:line="276" w:lineRule="auto"/>
        <w:ind w:left="360"/>
      </w:pPr>
      <w:r>
        <w:rPr>
          <w:rFonts w:ascii="Segoe UI" w:hAnsi="Segoe UI"/>
          <w:b/>
          <w:color w:val="1F2937"/>
          <w:sz w:val="19"/>
        </w:rPr>
        <w:t xml:space="preserve">2. Riesgo de licencias de datos: </w:t>
      </w:r>
      <w:r>
        <w:rPr>
          <w:rFonts w:ascii="Segoe UI" w:hAnsi="Segoe UI"/>
          <w:color w:val="1F2937"/>
          <w:sz w:val="19"/>
        </w:rPr>
        <w:t>datos públicos no siempre son datos reutilizables comercialmente sin revisar condiciones de cada OAM y operador de bolsa.</w:t>
      </w:r>
    </w:p>
    <w:p>
      <w:pPr>
        <w:pStyle w:val="ListBullet"/>
        <w:spacing w:after="60" w:before="0" w:line="276" w:lineRule="auto"/>
        <w:ind w:left="360"/>
      </w:pPr>
      <w:r>
        <w:rPr>
          <w:rFonts w:ascii="Segoe UI" w:hAnsi="Segoe UI"/>
          <w:b/>
          <w:color w:val="1F2937"/>
          <w:sz w:val="19"/>
        </w:rPr>
        <w:t xml:space="preserve">3. Riesgo de capacidad: </w:t>
      </w:r>
      <w:r>
        <w:rPr>
          <w:rFonts w:ascii="Segoe UI" w:hAnsi="Segoe UI"/>
          <w:color w:val="1F2937"/>
          <w:sz w:val="19"/>
        </w:rPr>
        <w:t>1.500–3.000 empresas, 5 países, 100% revisión humana y 15–30 horas semanales requieren una secuencia muy disciplinada.</w:t>
      </w:r>
    </w:p>
    <w:p>
      <w:pPr>
        <w:pStyle w:val="ListBullet"/>
        <w:spacing w:after="60" w:before="0" w:line="276" w:lineRule="auto"/>
        <w:ind w:left="360"/>
      </w:pPr>
      <w:r>
        <w:rPr>
          <w:rFonts w:ascii="Segoe UI" w:hAnsi="Segoe UI"/>
          <w:b/>
          <w:color w:val="1F2937"/>
          <w:sz w:val="19"/>
        </w:rPr>
        <w:t xml:space="preserve">4. Riesgo de confusión entre investigación y assurance: </w:t>
      </w:r>
      <w:r>
        <w:rPr>
          <w:rFonts w:ascii="Segoe UI" w:hAnsi="Segoe UI"/>
          <w:color w:val="1F2937"/>
          <w:sz w:val="19"/>
        </w:rPr>
        <w:t>no presentar jamás datos propios como auditados o certificados.</w:t>
      </w:r>
    </w:p>
    <w:p>
      <w:pPr>
        <w:keepNext/>
        <w:spacing w:before="240" w:after="80"/>
      </w:pPr>
      <w:r>
        <w:rPr>
          <w:rFonts w:ascii="Segoe UI" w:hAnsi="Segoe UI"/>
          <w:b/>
          <w:color w:val="134074"/>
          <w:sz w:val="23"/>
        </w:rPr>
        <w:t>Coste estimado primer año</w:t>
      </w:r>
    </w:p>
    <w:p>
      <w:pPr>
        <w:spacing w:after="80" w:before="0" w:line="276" w:lineRule="auto"/>
      </w:pPr>
      <w:r>
        <w:rPr>
          <w:rFonts w:ascii="Segoe UI" w:hAnsi="Segoe UI"/>
          <w:i w:val="0"/>
          <w:color w:val="1F2937"/>
          <w:sz w:val="19"/>
        </w:rPr>
        <w:t>Entre 8.000 y 18.000 euros en escenario realista con VPS propio y sin empleados.</w:t>
      </w:r>
    </w:p>
    <w:p>
      <w:pPr>
        <w:keepNext/>
        <w:spacing w:before="240" w:after="80"/>
      </w:pPr>
      <w:r>
        <w:rPr>
          <w:rFonts w:ascii="Segoe UI" w:hAnsi="Segoe UI"/>
          <w:b/>
          <w:color w:val="134074"/>
          <w:sz w:val="23"/>
        </w:rPr>
        <w:t>Próximo paso urgente</w:t>
      </w:r>
    </w:p>
    <w:p>
      <w:pPr>
        <w:spacing w:after="80" w:before="0" w:line="276" w:lineRule="auto"/>
      </w:pPr>
      <w:r>
        <w:rPr>
          <w:rFonts w:ascii="Segoe UI" w:hAnsi="Segoe UI"/>
          <w:i w:val="0"/>
          <w:color w:val="1F2937"/>
          <w:sz w:val="19"/>
        </w:rPr>
        <w:t>Auditoría y análisis documental exhaustivo de los términos de servicio y contratos de mercado de los OAMs y bolsas europeas.</w:t>
      </w:r>
    </w:p>
    <w:p>
      <w:pPr>
        <w:keepNext/>
        <w:spacing w:before="320" w:after="120"/>
      </w:pPr>
      <w:r>
        <w:rPr>
          <w:rFonts w:ascii="Segoe UI" w:hAnsi="Segoe UI"/>
          <w:b/>
          <w:color w:val="0B2545"/>
          <w:sz w:val="28"/>
        </w:rPr>
        <w:t>CAPÍTULO 1. MARCO CONTABLE Y REGULATORIO EUROPEO</w:t>
      </w:r>
    </w:p>
    <w:p>
      <w:pPr>
        <w:keepNext/>
        <w:spacing w:before="240" w:after="80"/>
      </w:pPr>
      <w:r>
        <w:rPr>
          <w:rFonts w:ascii="Segoe UI" w:hAnsi="Segoe UI"/>
          <w:b/>
          <w:color w:val="134074"/>
          <w:sz w:val="23"/>
        </w:rPr>
        <w:t>1.1. El Reglamento 1606/2002 y la obligación de NIIF-UE</w:t>
      </w:r>
    </w:p>
    <w:p>
      <w:pPr>
        <w:keepNext/>
        <w:spacing w:before="120" w:after="80"/>
      </w:pPr>
      <w:r>
        <w:rPr>
          <w:rFonts w:ascii="Segoe UI" w:hAnsi="Segoe UI"/>
          <w:b/>
          <w:color w:val="134074"/>
          <w:sz w:val="16"/>
          <w:shd w:fill="EEF2F6"/>
        </w:rPr>
        <w:t xml:space="preserve"> CONFIRMADA POR NORMA — Reglamento (CE) 1606/2002, EUR-Lex </w:t>
      </w:r>
    </w:p>
    <w:p>
      <w:pPr>
        <w:spacing w:after="80" w:before="0" w:line="276" w:lineRule="auto"/>
      </w:pPr>
      <w:r>
        <w:rPr>
          <w:rFonts w:ascii="Segoe UI" w:hAnsi="Segoe UI"/>
          <w:i w:val="0"/>
          <w:color w:val="1F2937"/>
          <w:sz w:val="19"/>
        </w:rPr>
        <w:t>El Reglamento (CE) 1606/2002 del Parlamento Europeo y del Consejo, de 19 de julio de 2002, establece la obligación de aplicar las Normas Internacionales de Información Financiera adoptadas por la Unión Europea (NIIF-UE). Esta obligación no es universal ni simétrica. Es fundamental entender su alcance exacto.</w:t>
      </w:r>
    </w:p>
    <w:p>
      <w:pPr>
        <w:spacing w:after="80" w:before="0" w:line="276" w:lineRule="auto"/>
      </w:pPr>
      <w:r>
        <w:rPr>
          <w:rFonts w:ascii="Segoe UI" w:hAnsi="Segoe UI"/>
          <w:b/>
          <w:color w:val="1F2937"/>
          <w:sz w:val="19"/>
        </w:rPr>
        <w:t xml:space="preserve">Artículo 4 (obligación nuclear): </w:t>
      </w:r>
      <w:r>
        <w:rPr>
          <w:rFonts w:ascii="Segoe UI" w:hAnsi="Segoe UI"/>
          <w:i w:val="0"/>
          <w:color w:val="1F2937"/>
          <w:sz w:val="19"/>
        </w:rPr>
        <w:t>Las sociedades regidas por el Derecho de un Estado miembro cuyos valores estén admitidos a cotización en un mercado regulado de cualquier Estado miembro están obligadas a elaborar sus cuentas consolidadas de conformidad con las NIIF-UE a partir de los ejercicios iniciados el 1 de enero de 2005 o posteriores.</w:t>
      </w:r>
    </w:p>
    <w:p>
      <w:pPr>
        <w:spacing w:after="80" w:before="0" w:line="276" w:lineRule="auto"/>
      </w:pPr>
      <w:r>
        <w:rPr>
          <w:rFonts w:ascii="Segoe UI" w:hAnsi="Segoe UI"/>
          <w:i w:val="0"/>
          <w:color w:val="1F2937"/>
          <w:sz w:val="19"/>
        </w:rPr>
        <w:t>Esta obligación tiene cuatro condiciones acumulativas que deben cumplirse simultáneamente:</w:t>
      </w:r>
    </w:p>
    <w:p>
      <w:pPr>
        <w:pStyle w:val="ListBullet"/>
        <w:spacing w:after="60" w:before="0" w:line="276" w:lineRule="auto"/>
        <w:ind w:left="360"/>
      </w:pPr>
      <w:r>
        <w:rPr>
          <w:rFonts w:ascii="Segoe UI" w:hAnsi="Segoe UI"/>
          <w:color w:val="1F2937"/>
          <w:sz w:val="19"/>
        </w:rPr>
        <w:t>La sociedad debe estar regida por el Derecho de un Estado miembro de la UE.</w:t>
      </w:r>
    </w:p>
    <w:p>
      <w:pPr>
        <w:pStyle w:val="ListBullet"/>
        <w:spacing w:after="60" w:before="0" w:line="276" w:lineRule="auto"/>
        <w:ind w:left="360"/>
      </w:pPr>
      <w:r>
        <w:rPr>
          <w:rFonts w:ascii="Segoe UI" w:hAnsi="Segoe UI"/>
          <w:color w:val="1F2937"/>
          <w:sz w:val="19"/>
        </w:rPr>
        <w:t>Debe tener valores admitidos a cotización.</w:t>
      </w:r>
    </w:p>
    <w:p>
      <w:pPr>
        <w:pStyle w:val="ListBullet"/>
        <w:spacing w:after="60" w:before="0" w:line="276" w:lineRule="auto"/>
        <w:ind w:left="360"/>
      </w:pPr>
      <w:r>
        <w:rPr>
          <w:rFonts w:ascii="Segoe UI" w:hAnsi="Segoe UI"/>
          <w:color w:val="1F2937"/>
          <w:sz w:val="19"/>
        </w:rPr>
        <w:t>Esos valores deben estar en un mercado regulado (no en un SMN o mercado alternativo).</w:t>
      </w:r>
    </w:p>
    <w:p>
      <w:pPr>
        <w:pStyle w:val="ListBullet"/>
        <w:spacing w:after="60" w:before="0" w:line="276" w:lineRule="auto"/>
        <w:ind w:left="360"/>
      </w:pPr>
      <w:r>
        <w:rPr>
          <w:rFonts w:ascii="Segoe UI" w:hAnsi="Segoe UI"/>
          <w:color w:val="1F2937"/>
          <w:sz w:val="19"/>
        </w:rPr>
        <w:t>La obligación afecta a las cuentas consolidadas, no a las individuales de la dominante ni a las de las filiales.</w:t>
      </w:r>
    </w:p>
    <w:p>
      <w:pPr>
        <w:spacing w:after="80" w:before="0" w:line="276" w:lineRule="auto"/>
      </w:pPr>
      <w:r>
        <w:rPr>
          <w:rFonts w:ascii="Segoe UI" w:hAnsi="Segoe UI"/>
          <w:b/>
          <w:color w:val="1F2937"/>
          <w:sz w:val="19"/>
        </w:rPr>
        <w:t xml:space="preserve">Artículo 5 (opciones de los Estados miembros): </w:t>
      </w:r>
      <w:r>
        <w:rPr>
          <w:rFonts w:ascii="Segoe UI" w:hAnsi="Segoe UI"/>
          <w:i w:val="0"/>
          <w:color w:val="1F2937"/>
          <w:sz w:val="19"/>
        </w:rPr>
        <w:t>Los Estados miembros pueden permitir o exigir la aplicación de las NIIF-UE en cuentas individuales de cotizadas o en cuentas de empresas no cotizadas. Esto es una opción nacional, no una obligación comunitaria uniforme.</w:t>
      </w:r>
    </w:p>
    <w:p>
      <w:pPr>
        <w:keepNext/>
        <w:spacing w:before="160" w:after="60"/>
      </w:pPr>
      <w:r>
        <w:rPr>
          <w:rFonts w:ascii="Segoe UI" w:hAnsi="Segoe UI"/>
          <w:b/>
          <w:color w:val="1F2937"/>
          <w:sz w:val="21"/>
        </w:rPr>
        <w:t>Qué significa "NIIF-UE" frente a "IFRS internacionales"</w:t>
      </w:r>
    </w:p>
    <w:p>
      <w:pPr>
        <w:keepNext/>
        <w:spacing w:before="120" w:after="80"/>
      </w:pPr>
      <w:r>
        <w:rPr>
          <w:rFonts w:ascii="Segoe UI" w:hAnsi="Segoe UI"/>
          <w:b/>
          <w:color w:val="134074"/>
          <w:sz w:val="16"/>
          <w:shd w:fill="EEF2F6"/>
        </w:rPr>
        <w:t xml:space="preserve"> INTERPRETACIÓN TÉCNICA </w:t>
      </w:r>
    </w:p>
    <w:p>
      <w:pPr>
        <w:spacing w:after="80" w:before="0" w:line="276" w:lineRule="auto"/>
      </w:pPr>
      <w:r>
        <w:rPr>
          <w:rFonts w:ascii="Segoe UI" w:hAnsi="Segoe UI"/>
          <w:i w:val="0"/>
          <w:color w:val="1F2937"/>
          <w:sz w:val="19"/>
        </w:rPr>
        <w:t>Las NIIF publicadas por el IASB (International Accounting Standards Board) no se aplican directamente en la UE. Requieren un proceso de "endorsement" o adopción formal por la Comisión Europea, que puede incluir modificaciones o carve-outs. El ejemplo más conocido es el de la NIC 39 (instrumentos financieros), que fue adoptada con una supresión parcial de ciertos párrafos. Por tanto, nunca debe afirmarse que una empresa europea cotizada aplica "IFRS" sin más: aplica las "NIIF adoptadas por la UE", que pueden diferir en aspectos concretos de los IFRS publicados internacionalmente.</w:t>
      </w:r>
    </w:p>
    <w:p>
      <w:pPr>
        <w:keepNext/>
        <w:spacing w:before="160" w:after="60"/>
      </w:pPr>
      <w:r>
        <w:rPr>
          <w:rFonts w:ascii="Segoe UI" w:hAnsi="Segoe UI"/>
          <w:b/>
          <w:color w:val="1F2937"/>
          <w:sz w:val="21"/>
        </w:rPr>
        <w:t>Qué ocurre con las cuentas individuales en España</w:t>
      </w:r>
    </w:p>
    <w:p>
      <w:pPr>
        <w:keepNext/>
        <w:spacing w:before="120" w:after="80"/>
      </w:pPr>
      <w:r>
        <w:rPr>
          <w:rFonts w:ascii="Segoe UI" w:hAnsi="Segoe UI"/>
          <w:b/>
          <w:color w:val="134074"/>
          <w:sz w:val="16"/>
          <w:shd w:fill="EEF2F6"/>
        </w:rPr>
        <w:t xml:space="preserve"> CONFIRMADA POR FUENTE OFICIAL — ICAC </w:t>
      </w:r>
    </w:p>
    <w:p>
      <w:pPr>
        <w:spacing w:after="80" w:before="0" w:line="276" w:lineRule="auto"/>
      </w:pPr>
      <w:r>
        <w:rPr>
          <w:rFonts w:ascii="Segoe UI" w:hAnsi="Segoe UI"/>
          <w:i w:val="0"/>
          <w:color w:val="1F2937"/>
          <w:sz w:val="19"/>
        </w:rPr>
        <w:t>España, en ejercicio de la opción del Artículo 5, optó por mantener el Plan General de Contabilidad (PGC) como norma contable para las cuentas anuales individuales de todas las sociedades, incluidas las cotizadas. Las cuentas consolidadas de las cotizadas en mercados regulados se preparan con NIIF-UE; sus cuentas individuales separadas se preparan con el PGC (Real Decreto 1514/2007 y modificaciones).</w:t>
      </w:r>
    </w:p>
    <w:p>
      <w:pPr>
        <w:spacing w:after="80" w:before="0" w:line="276" w:lineRule="auto"/>
      </w:pPr>
      <w:r>
        <w:rPr>
          <w:rFonts w:ascii="Segoe UI" w:hAnsi="Segoe UI"/>
          <w:i w:val="0"/>
          <w:color w:val="1F2937"/>
          <w:sz w:val="19"/>
        </w:rPr>
        <w:t>Esta dualidad tiene consecuencias prácticas importantes para nuestra plataforma:</w:t>
      </w:r>
    </w:p>
    <w:tbl>
      <w:tblPr>
        <w:tblW w:type="auto" w:w="0"/>
        <w:jc w:val="center"/>
        <w:tblLayout w:type="fixed"/>
        <w:tblLook w:firstColumn="1" w:firstRow="1" w:lastColumn="0" w:lastRow="0" w:noHBand="0" w:noVBand="1" w:val="04A0"/>
      </w:tblPr>
      <w:tblGrid>
        <w:gridCol w:w="3106"/>
        <w:gridCol w:w="3106"/>
        <w:gridCol w:w="3106"/>
      </w:tblGrid>
      <w:tr>
        <w:trPr>
          <w:tblHeader/>
          <w:cantSplit/>
        </w:trPr>
        <w:tc>
          <w:tcPr>
            <w:tcW w:type="dxa" w:w="3744"/>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Documento</w:t>
            </w:r>
          </w:p>
        </w:tc>
        <w:tc>
          <w:tcPr>
            <w:tcW w:type="dxa" w:w="331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Norma aplicable (España)</w:t>
            </w:r>
          </w:p>
        </w:tc>
        <w:tc>
          <w:tcPr>
            <w:tcW w:type="dxa" w:w="331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Formato digital</w:t>
            </w:r>
          </w:p>
        </w:tc>
      </w:tr>
      <w:tr>
        <w:trPr>
          <w:cantSplit/>
        </w:trPr>
        <w:tc>
          <w:tcPr>
            <w:tcW w:type="dxa" w:w="3744"/>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Cuentas consolidadas (cotizada en mercado regulado)</w:t>
            </w:r>
          </w:p>
        </w:tc>
        <w:tc>
          <w:tcPr>
            <w:tcW w:type="dxa" w:w="331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NIIF-UE</w:t>
            </w:r>
          </w:p>
        </w:tc>
        <w:tc>
          <w:tcPr>
            <w:tcW w:type="dxa" w:w="331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ESEF / iXBRL obligatorio</w:t>
            </w:r>
          </w:p>
        </w:tc>
      </w:tr>
      <w:tr>
        <w:trPr>
          <w:cantSplit/>
        </w:trPr>
        <w:tc>
          <w:tcPr>
            <w:tcW w:type="dxa" w:w="3744"/>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Cuentas individuales de la dominante</w:t>
            </w:r>
          </w:p>
        </w:tc>
        <w:tc>
          <w:tcPr>
            <w:tcW w:type="dxa" w:w="331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PGC</w:t>
            </w:r>
          </w:p>
        </w:tc>
        <w:tc>
          <w:tcPr>
            <w:tcW w:type="dxa" w:w="331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XBRL (taxonomía española CNMV)</w:t>
            </w:r>
          </w:p>
        </w:tc>
      </w:tr>
      <w:tr>
        <w:trPr>
          <w:cantSplit/>
        </w:trPr>
        <w:tc>
          <w:tcPr>
            <w:tcW w:type="dxa" w:w="3744"/>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Cuentas individuales de la filial no cotizada</w:t>
            </w:r>
          </w:p>
        </w:tc>
        <w:tc>
          <w:tcPr>
            <w:tcW w:type="dxa" w:w="331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PGC</w:t>
            </w:r>
          </w:p>
        </w:tc>
        <w:tc>
          <w:tcPr>
            <w:tcW w:type="dxa" w:w="331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Depósito en Registro Mercantil</w:t>
            </w:r>
          </w:p>
        </w:tc>
      </w:tr>
      <w:tr>
        <w:trPr>
          <w:cantSplit/>
        </w:trPr>
        <w:tc>
          <w:tcPr>
            <w:tcW w:type="dxa" w:w="3744"/>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Estado de Información No Financiera Consolidado</w:t>
            </w:r>
          </w:p>
        </w:tc>
        <w:tc>
          <w:tcPr>
            <w:tcW w:type="dxa" w:w="331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CSRD/ESRS (en fase de transposición)</w:t>
            </w:r>
          </w:p>
        </w:tc>
        <w:tc>
          <w:tcPr>
            <w:tcW w:type="dxa" w:w="331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Variable según OAM</w:t>
            </w:r>
          </w:p>
        </w:tc>
      </w:tr>
    </w:tbl>
    <w:p>
      <w:pPr>
        <w:spacing w:after="80"/>
      </w:pPr>
    </w:p>
    <w:p>
      <w:pPr>
        <w:keepNext/>
        <w:spacing w:before="240" w:after="80"/>
      </w:pPr>
      <w:r>
        <w:rPr>
          <w:rFonts w:ascii="Segoe UI" w:hAnsi="Segoe UI"/>
          <w:b/>
          <w:color w:val="134074"/>
          <w:sz w:val="23"/>
        </w:rPr>
        <w:t>1.2. Mercados regulados vs. SMN / Mercados de crecimiento</w:t>
      </w:r>
    </w:p>
    <w:p>
      <w:pPr>
        <w:keepNext/>
        <w:spacing w:before="120" w:after="80"/>
      </w:pPr>
      <w:r>
        <w:rPr>
          <w:rFonts w:ascii="Segoe UI" w:hAnsi="Segoe UI"/>
          <w:b/>
          <w:color w:val="134074"/>
          <w:sz w:val="16"/>
          <w:shd w:fill="EEF2F6"/>
        </w:rPr>
        <w:t xml:space="preserve"> CONFIRMADA POR NORMA — Directiva 2014/65/UE (MiFID II), Art. 4 </w:t>
      </w:r>
    </w:p>
    <w:p>
      <w:pPr>
        <w:spacing w:after="80" w:before="0" w:line="276" w:lineRule="auto"/>
      </w:pPr>
      <w:r>
        <w:rPr>
          <w:rFonts w:ascii="Segoe UI" w:hAnsi="Segoe UI"/>
          <w:i w:val="0"/>
          <w:color w:val="1F2937"/>
          <w:sz w:val="19"/>
        </w:rPr>
        <w:t>Esta distinción es crítica para el diseño de la plataforma, porque determina qué empresas están obligadas a ESEF, NIIF-UE y CSRD en sus cuentas consolidadas.</w:t>
      </w:r>
    </w:p>
    <w:p>
      <w:pPr>
        <w:spacing w:after="80" w:before="0" w:line="276" w:lineRule="auto"/>
      </w:pPr>
      <w:r>
        <w:rPr>
          <w:rFonts w:ascii="Segoe UI" w:hAnsi="Segoe UI"/>
          <w:i w:val="0"/>
          <w:color w:val="1F2937"/>
          <w:sz w:val="19"/>
        </w:rPr>
        <w:t>Mercado regulado en el sentido de MiFID II es un sistema multilateral, operado o gestionado por un gestor de mercado, que reúne o facilita la reunión de múltiples intereses de compra y venta de instrumentos financieros de terceros, dentro del sistema y con arreglo a sus normas no discrecionales, de tal forma que den lugar a contratos, con respecto a los instrumentos financieros admitidos a negociación conforme a sus normas o sistemas.</w:t>
      </w:r>
    </w:p>
    <w:p>
      <w:pPr>
        <w:spacing w:after="80" w:before="0" w:line="276" w:lineRule="auto"/>
      </w:pPr>
      <w:r>
        <w:rPr>
          <w:rFonts w:ascii="Segoe UI" w:hAnsi="Segoe UI"/>
          <w:i w:val="0"/>
          <w:color w:val="1F2937"/>
          <w:sz w:val="19"/>
        </w:rPr>
        <w:t>Los mercados regulados reconocidos en España son:</w:t>
      </w:r>
    </w:p>
    <w:p>
      <w:pPr>
        <w:pStyle w:val="ListBullet"/>
        <w:spacing w:after="60" w:before="0" w:line="276" w:lineRule="auto"/>
        <w:ind w:left="360"/>
      </w:pPr>
      <w:r>
        <w:rPr>
          <w:rFonts w:ascii="Segoe UI" w:hAnsi="Segoe UI"/>
          <w:color w:val="1F2937"/>
          <w:sz w:val="19"/>
        </w:rPr>
        <w:t>Bolsas de Madrid, Barcelona, Bilbao y Valencia (mercado continuo / SIBE)</w:t>
      </w:r>
    </w:p>
    <w:p>
      <w:pPr>
        <w:pStyle w:val="ListBullet"/>
        <w:spacing w:after="60" w:before="0" w:line="276" w:lineRule="auto"/>
        <w:ind w:left="360"/>
      </w:pPr>
      <w:r>
        <w:rPr>
          <w:rFonts w:ascii="Segoe UI" w:hAnsi="Segoe UI"/>
          <w:color w:val="1F2937"/>
          <w:sz w:val="19"/>
        </w:rPr>
        <w:t>AIAF (renta fija)</w:t>
      </w:r>
    </w:p>
    <w:p>
      <w:pPr>
        <w:pStyle w:val="ListBullet"/>
        <w:spacing w:after="60" w:before="0" w:line="276" w:lineRule="auto"/>
        <w:ind w:left="360"/>
      </w:pPr>
      <w:r>
        <w:rPr>
          <w:rFonts w:ascii="Segoe UI" w:hAnsi="Segoe UI"/>
          <w:color w:val="1F2937"/>
          <w:sz w:val="19"/>
        </w:rPr>
        <w:t>MEFF (derivados)</w:t>
      </w:r>
    </w:p>
    <w:p>
      <w:pPr>
        <w:pStyle w:val="ListBullet"/>
        <w:spacing w:after="60" w:before="0" w:line="276" w:lineRule="auto"/>
        <w:ind w:left="360"/>
      </w:pPr>
      <w:r>
        <w:rPr>
          <w:rFonts w:ascii="Segoe UI" w:hAnsi="Segoe UI"/>
          <w:color w:val="1F2937"/>
          <w:sz w:val="19"/>
        </w:rPr>
        <w:t>SENAF (repos)</w:t>
      </w:r>
    </w:p>
    <w:p>
      <w:pPr>
        <w:spacing w:after="80" w:before="0" w:line="276" w:lineRule="auto"/>
      </w:pPr>
      <w:r>
        <w:rPr>
          <w:rFonts w:ascii="Segoe UI" w:hAnsi="Segoe UI"/>
          <w:i w:val="0"/>
          <w:color w:val="1F2937"/>
          <w:sz w:val="19"/>
        </w:rPr>
        <w:t>BME Growth y BME Scaleup son Sistemas Multilaterales de Negociación (SMN), no mercados regulados. Esto tiene consecuencias directas:</w:t>
      </w:r>
    </w:p>
    <w:tbl>
      <w:tblPr>
        <w:tblW w:type="auto" w:w="0"/>
        <w:jc w:val="center"/>
        <w:tblLayout w:type="fixed"/>
        <w:tblLook w:firstColumn="1" w:firstRow="1" w:lastColumn="0" w:lastRow="0" w:noHBand="0" w:noVBand="1" w:val="04A0"/>
      </w:tblPr>
      <w:tblGrid>
        <w:gridCol w:w="3106"/>
        <w:gridCol w:w="3106"/>
        <w:gridCol w:w="3106"/>
      </w:tblGrid>
      <w:tr>
        <w:trPr>
          <w:tblHeader/>
          <w:cantSplit/>
        </w:trPr>
        <w:tc>
          <w:tcPr>
            <w:tcW w:type="dxa" w:w="3456"/>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Obligación</w:t>
            </w:r>
          </w:p>
        </w:tc>
        <w:tc>
          <w:tcPr>
            <w:tcW w:type="dxa" w:w="331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Mercado regulado</w:t>
            </w:r>
          </w:p>
        </w:tc>
        <w:tc>
          <w:tcPr>
            <w:tcW w:type="dxa" w:w="3600"/>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SMN (BME Growth, Euronext Growth, Scale...)</w:t>
            </w:r>
          </w:p>
        </w:tc>
      </w:tr>
      <w:tr>
        <w:trPr>
          <w:cantSplit/>
        </w:trPr>
        <w:tc>
          <w:tcPr>
            <w:tcW w:type="dxa" w:w="345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Cuentas consolidadas en NIIF-UE</w:t>
            </w:r>
          </w:p>
        </w:tc>
        <w:tc>
          <w:tcPr>
            <w:tcW w:type="dxa" w:w="331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Sí (Reg. 1606/2002, Art. 4)</w:t>
            </w:r>
          </w:p>
        </w:tc>
        <w:tc>
          <w:tcPr>
            <w:tcW w:type="dxa" w:w="360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No obligatoriamente; norma nacional posible</w:t>
            </w:r>
          </w:p>
        </w:tc>
      </w:tr>
      <w:tr>
        <w:trPr>
          <w:cantSplit/>
        </w:trPr>
        <w:tc>
          <w:tcPr>
            <w:tcW w:type="dxa" w:w="345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Formato ESEF obligatorio</w:t>
            </w:r>
          </w:p>
        </w:tc>
        <w:tc>
          <w:tcPr>
            <w:tcW w:type="dxa" w:w="331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Sí</w:t>
            </w:r>
          </w:p>
        </w:tc>
        <w:tc>
          <w:tcPr>
            <w:tcW w:type="dxa" w:w="360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No en todos los casos</w:t>
            </w:r>
          </w:p>
        </w:tc>
      </w:tr>
      <w:tr>
        <w:trPr>
          <w:cantSplit/>
        </w:trPr>
        <w:tc>
          <w:tcPr>
            <w:tcW w:type="dxa" w:w="345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CSRD (grandes empresas interés público)</w:t>
            </w:r>
          </w:p>
        </w:tc>
        <w:tc>
          <w:tcPr>
            <w:tcW w:type="dxa" w:w="331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Sí (primer umbral)</w:t>
            </w:r>
          </w:p>
        </w:tc>
        <w:tc>
          <w:tcPr>
            <w:tcW w:type="dxa" w:w="360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Depende del tamaño</w:t>
            </w:r>
          </w:p>
        </w:tc>
      </w:tr>
      <w:tr>
        <w:trPr>
          <w:cantSplit/>
        </w:trPr>
        <w:tc>
          <w:tcPr>
            <w:tcW w:type="dxa" w:w="345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Hechos relevantes (MAR)</w:t>
            </w:r>
          </w:p>
        </w:tc>
        <w:tc>
          <w:tcPr>
            <w:tcW w:type="dxa" w:w="331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Sí</w:t>
            </w:r>
          </w:p>
        </w:tc>
        <w:tc>
          <w:tcPr>
            <w:tcW w:type="dxa" w:w="360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Régimen específico MAD/SMN</w:t>
            </w:r>
          </w:p>
        </w:tc>
      </w:tr>
    </w:tbl>
    <w:p>
      <w:pPr>
        <w:spacing w:after="80"/>
      </w:pPr>
    </w:p>
    <w:p>
      <w:pPr>
        <w:spacing w:after="80" w:before="0" w:line="276" w:lineRule="auto"/>
      </w:pPr>
      <w:r>
        <w:rPr>
          <w:rFonts w:ascii="Segoe UI" w:hAnsi="Segoe UI"/>
          <w:i w:val="0"/>
          <w:color w:val="1F2937"/>
          <w:sz w:val="19"/>
        </w:rPr>
        <w:t>Para nuestra plataforma, esto significa que las empresas de BME Growth pueden presentar sus cuentas en PGC, sin etiquetado XBRL ESEF normalizado, lo que incrementa el coste de extracción. Debemos documentar explícitamente la norma contable utilizada por cada empresa en nuestros metadatos.</w:t>
      </w:r>
    </w:p>
    <w:p>
      <w:pPr>
        <w:keepNext/>
        <w:spacing w:before="240" w:after="80"/>
      </w:pPr>
      <w:r>
        <w:rPr>
          <w:rFonts w:ascii="Segoe UI" w:hAnsi="Segoe UI"/>
          <w:b/>
          <w:color w:val="134074"/>
          <w:sz w:val="23"/>
        </w:rPr>
        <w:t>1.3. Subsidiarias: los cuatro casos fundamentales</w:t>
      </w:r>
    </w:p>
    <w:p>
      <w:pPr>
        <w:keepNext/>
        <w:spacing w:before="160" w:after="60"/>
      </w:pPr>
      <w:r>
        <w:rPr>
          <w:rFonts w:ascii="Segoe UI" w:hAnsi="Segoe UI"/>
          <w:b/>
          <w:color w:val="1F2937"/>
          <w:sz w:val="21"/>
        </w:rPr>
        <w:t>Caso A: Subsidiaria no cotizada en España cuya matriz cotiza en mercado regulado</w:t>
      </w:r>
    </w:p>
    <w:p>
      <w:pPr>
        <w:keepNext/>
        <w:spacing w:before="120" w:after="80"/>
      </w:pPr>
      <w:r>
        <w:rPr>
          <w:rFonts w:ascii="Segoe UI" w:hAnsi="Segoe UI"/>
          <w:b/>
          <w:color w:val="134074"/>
          <w:sz w:val="16"/>
          <w:shd w:fill="EEF2F6"/>
        </w:rPr>
        <w:t xml:space="preserve"> CONFIRMADA POR NORMA — LSC, RD 1159/2010, PGC </w:t>
      </w:r>
    </w:p>
    <w:p>
      <w:pPr>
        <w:spacing w:after="80" w:before="0" w:line="276" w:lineRule="auto"/>
      </w:pPr>
      <w:r>
        <w:rPr>
          <w:rFonts w:ascii="Segoe UI" w:hAnsi="Segoe UI"/>
          <w:i w:val="0"/>
          <w:color w:val="1F2937"/>
          <w:sz w:val="19"/>
        </w:rPr>
        <w:t>La subsidiaria no cotizada prepara sus cuentas individuales según el PGC (o las Normas para Pymes si cumple los requisitos). No tiene obligación propia de preparar cuentas consolidadas salvo que ella misma sea dominante de un subgrupo que no quede exento.</w:t>
      </w:r>
    </w:p>
    <w:p>
      <w:pPr>
        <w:spacing w:after="80" w:before="0" w:line="276" w:lineRule="auto"/>
      </w:pPr>
      <w:r>
        <w:rPr>
          <w:rFonts w:ascii="Segoe UI" w:hAnsi="Segoe UI"/>
          <w:i w:val="0"/>
          <w:color w:val="1F2937"/>
          <w:sz w:val="19"/>
        </w:rPr>
        <w:t>Proporciona a la dominante un "paquete de consolidación": datos contables adaptados a las políticas y formatos del grupo, necesarios para la elaboración de las cuentas consolidadas de la dominante. Este paquete puede implicar ajustes de valoración, conversión de moneda, homogeneización de políticas contables y revelación de transacciones intercompany.</w:t>
      </w:r>
    </w:p>
    <w:p>
      <w:pPr>
        <w:spacing w:after="80" w:before="0" w:line="276" w:lineRule="auto"/>
      </w:pPr>
      <w:r>
        <w:rPr>
          <w:rFonts w:ascii="Segoe UI" w:hAnsi="Segoe UI"/>
          <w:i w:val="0"/>
          <w:color w:val="1F2937"/>
          <w:sz w:val="19"/>
        </w:rPr>
        <w:t>Las cuentas individuales de la subsidiaria española se depositan en el Registro Mercantil correspondiente a su domicilio social.</w:t>
      </w:r>
    </w:p>
    <w:tbl>
      <w:tblPr>
        <w:tblW w:type="auto" w:w="0"/>
        <w:jc w:val="center"/>
        <w:tblLayout w:type="fixed"/>
        <w:tblLook w:firstColumn="1" w:firstRow="1" w:lastColumn="0" w:lastRow="0" w:noHBand="0" w:noVBand="1" w:val="04A0"/>
      </w:tblPr>
      <w:tblGrid>
        <w:gridCol w:w="9317"/>
      </w:tblGrid>
      <w:tr>
        <w:tc>
          <w:tcPr>
            <w:tcW w:type="dxa" w:w="9317"/>
            <w:shd w:fill="F0F4F8"/>
            <w:tcMar>
              <w:top w:w="120" w:type="dxa"/>
              <w:bottom w:w="120" w:type="dxa"/>
              <w:left w:w="180" w:type="dxa"/>
              <w:right w:w="160" w:type="dxa"/>
            </w:tcMar>
            <w:tcBorders>
              <w:top w:val="none" w:sz="24" w:space="0" w:color="134074"/>
              <w:left w:val="single" w:sz="24" w:space="0" w:color="134074"/>
              <w:bottom w:val="none" w:sz="24" w:space="0" w:color="134074"/>
              <w:right w:val="none" w:sz="24" w:space="0" w:color="134074"/>
            </w:tcBorders>
          </w:tcPr>
          <w:p>
            <w:pPr>
              <w:spacing w:after="0" w:before="0" w:line="276" w:lineRule="auto"/>
            </w:pPr>
            <w:r>
              <w:rPr>
                <w:rFonts w:ascii="Segoe UI" w:hAnsi="Segoe UI"/>
                <w:b/>
                <w:color w:val="0B2545"/>
                <w:sz w:val="19"/>
              </w:rPr>
              <w:t>AVISO PRÁCTICO para la plataforma</w:t>
              <w:br/>
            </w:r>
            <w:r>
              <w:rPr>
                <w:rFonts w:ascii="Segoe UI" w:hAnsi="Segoe UI"/>
                <w:color w:val="1F2937"/>
                <w:sz w:val="18"/>
              </w:rPr>
              <w:t>Las cuentas individuales de subsidiarias no cotizadas están en el Registro Mercantil, no en la CNMV. El acceso puede hacerse a través del Registro Mercantil Central (con coste por documento) o mediante sistemas como SABI (Bureau van Dijk/Moody's) o North Data. El acceso masivo y gratuito no está garantizado.</w:t>
            </w:r>
          </w:p>
        </w:tc>
      </w:tr>
    </w:tbl>
    <w:p>
      <w:pPr>
        <w:spacing w:before="0" w:after="80"/>
      </w:pPr>
    </w:p>
    <w:p>
      <w:pPr>
        <w:keepNext/>
        <w:spacing w:before="160" w:after="60"/>
      </w:pPr>
      <w:r>
        <w:rPr>
          <w:rFonts w:ascii="Segoe UI" w:hAnsi="Segoe UI"/>
          <w:b/>
          <w:color w:val="1F2937"/>
          <w:sz w:val="21"/>
        </w:rPr>
        <w:t>Caso B: Subsidiaria cotizada en mercado regulado (que es a su vez dominante de un subgrupo)</w:t>
      </w:r>
    </w:p>
    <w:p>
      <w:pPr>
        <w:keepNext/>
        <w:spacing w:before="120" w:after="80"/>
      </w:pPr>
      <w:r>
        <w:rPr>
          <w:rFonts w:ascii="Segoe UI" w:hAnsi="Segoe UI"/>
          <w:b/>
          <w:color w:val="134074"/>
          <w:sz w:val="16"/>
          <w:shd w:fill="EEF2F6"/>
        </w:rPr>
        <w:t xml:space="preserve"> CONFIRMADA POR NORMA — Reg. 1606/2002, Art. 4; RD 1159/2010 </w:t>
      </w:r>
    </w:p>
    <w:p>
      <w:pPr>
        <w:spacing w:after="80" w:before="0" w:line="276" w:lineRule="auto"/>
      </w:pPr>
      <w:r>
        <w:rPr>
          <w:rFonts w:ascii="Segoe UI" w:hAnsi="Segoe UI"/>
          <w:i w:val="0"/>
          <w:color w:val="1F2937"/>
          <w:sz w:val="19"/>
        </w:rPr>
        <w:t>Si la subsidiaria cotiza en mercado regulado y es dominante de su propio subgrupo, tiene obligación propia de consolidar a ese nivel. Presentará sus cuentas consolidadas en NIIF-UE en formato ESEF. También presentará sus cuentas individuales en PGC (en España).</w:t>
      </w:r>
    </w:p>
    <w:p>
      <w:pPr>
        <w:spacing w:after="80" w:before="0" w:line="276" w:lineRule="auto"/>
      </w:pPr>
      <w:r>
        <w:rPr>
          <w:rFonts w:ascii="Segoe UI" w:hAnsi="Segoe UI"/>
          <w:i w:val="0"/>
          <w:color w:val="1F2937"/>
          <w:sz w:val="19"/>
        </w:rPr>
        <w:t>Puede existir exención de consolidación bajo el Art. 43 de la Directiva 2013/34/UE si ella misma está incluida en las cuentas consolidadas de una dominante superior que también consolida conforme a NIIF o norma equivalente, siempre que se cumplan los requisitos de información a los socios y se haga público el grupo al que pertenece.</w:t>
      </w:r>
    </w:p>
    <w:tbl>
      <w:tblPr>
        <w:tblW w:type="auto" w:w="0"/>
        <w:jc w:val="center"/>
        <w:tblLayout w:type="fixed"/>
        <w:tblLook w:firstColumn="1" w:firstRow="1" w:lastColumn="0" w:lastRow="0" w:noHBand="0" w:noVBand="1" w:val="04A0"/>
      </w:tblPr>
      <w:tblGrid>
        <w:gridCol w:w="9317"/>
      </w:tblGrid>
      <w:tr>
        <w:tc>
          <w:tcPr>
            <w:tcW w:type="dxa" w:w="9317"/>
            <w:shd w:fill="F0F4F8"/>
            <w:tcMar>
              <w:top w:w="120" w:type="dxa"/>
              <w:bottom w:w="120" w:type="dxa"/>
              <w:left w:w="180" w:type="dxa"/>
              <w:right w:w="160" w:type="dxa"/>
            </w:tcMar>
            <w:tcBorders>
              <w:top w:val="none" w:sz="24" w:space="0" w:color="134074"/>
              <w:left w:val="single" w:sz="24" w:space="0" w:color="134074"/>
              <w:bottom w:val="none" w:sz="24" w:space="0" w:color="134074"/>
              <w:right w:val="none" w:sz="24" w:space="0" w:color="134074"/>
            </w:tcBorders>
          </w:tcPr>
          <w:p>
            <w:pPr>
              <w:spacing w:after="0" w:before="0" w:line="276" w:lineRule="auto"/>
            </w:pPr>
            <w:r>
              <w:rPr>
                <w:rFonts w:ascii="Segoe UI" w:hAnsi="Segoe UI"/>
                <w:b/>
                <w:color w:val="0B2545"/>
                <w:sz w:val="19"/>
              </w:rPr>
              <w:t>AVISO</w:t>
              <w:br/>
            </w:r>
            <w:r>
              <w:rPr>
                <w:rFonts w:ascii="Segoe UI" w:hAnsi="Segoe UI"/>
                <w:color w:val="1F2937"/>
                <w:sz w:val="18"/>
              </w:rPr>
              <w:t>La exención de consolidación es compleja y tiene requisitos formales precisos. Su aplicación debe revisarse caso por caso con asesor contable o auditor.</w:t>
            </w:r>
          </w:p>
        </w:tc>
      </w:tr>
    </w:tbl>
    <w:p>
      <w:pPr>
        <w:spacing w:before="0" w:after="80"/>
      </w:pPr>
    </w:p>
    <w:p>
      <w:pPr>
        <w:keepNext/>
        <w:spacing w:before="160" w:after="60"/>
      </w:pPr>
      <w:r>
        <w:rPr>
          <w:rFonts w:ascii="Segoe UI" w:hAnsi="Segoe UI"/>
          <w:b/>
          <w:color w:val="1F2937"/>
          <w:sz w:val="21"/>
        </w:rPr>
        <w:t>Caso C: Matriz extranjera con filial española</w:t>
      </w:r>
    </w:p>
    <w:p>
      <w:pPr>
        <w:keepNext/>
        <w:spacing w:before="120" w:after="80"/>
      </w:pPr>
      <w:r>
        <w:rPr>
          <w:rFonts w:ascii="Segoe UI" w:hAnsi="Segoe UI"/>
          <w:b/>
          <w:color w:val="134074"/>
          <w:sz w:val="16"/>
          <w:shd w:fill="EEF2F6"/>
        </w:rPr>
        <w:t xml:space="preserve"> INTERPRETACIÓN TÉCNICA — PGC, RD 1159/2010, Ley 22/2015 </w:t>
      </w:r>
    </w:p>
    <w:p>
      <w:pPr>
        <w:spacing w:after="80" w:before="0" w:line="276" w:lineRule="auto"/>
      </w:pPr>
      <w:r>
        <w:rPr>
          <w:rFonts w:ascii="Segoe UI" w:hAnsi="Segoe UI"/>
          <w:i w:val="0"/>
          <w:color w:val="1F2937"/>
          <w:sz w:val="19"/>
        </w:rPr>
        <w:t>La filial española prepara cuentas individuales en PGC y las deposita en el Registro Mercantil español. Revela en sus cuentas quién es su sociedad dominante última y, en su caso, dónde pueden obtenerse las cuentas consolidadas del grupo.</w:t>
      </w:r>
    </w:p>
    <w:p>
      <w:pPr>
        <w:spacing w:after="80" w:before="0" w:line="276" w:lineRule="auto"/>
      </w:pPr>
      <w:r>
        <w:rPr>
          <w:rFonts w:ascii="Segoe UI" w:hAnsi="Segoe UI"/>
          <w:i w:val="0"/>
          <w:color w:val="1F2937"/>
          <w:sz w:val="19"/>
        </w:rPr>
        <w:t>Si la matriz extranjera cotiza en un mercado regulado de la UE, prepara cuentas consolidadas en NIIF-UE según el Reg. 1606/2002. La filial española contribuye al paquete de consolidación del grupo. Para ello, la dominante puede exigir la homogeneización de políticas contables, la conversión de las cifras de PGC a los formatos del grupo y la aportación de información adicional no exigida por el PGC local.</w:t>
      </w:r>
    </w:p>
    <w:p>
      <w:pPr>
        <w:keepNext/>
        <w:spacing w:before="160" w:after="60"/>
      </w:pPr>
      <w:r>
        <w:rPr>
          <w:rFonts w:ascii="Segoe UI" w:hAnsi="Segoe UI"/>
          <w:b/>
          <w:color w:val="1F2937"/>
          <w:sz w:val="21"/>
        </w:rPr>
        <w:t>Caso D: Filial que no prepara cuentas consolidadas (exención)</w:t>
      </w:r>
    </w:p>
    <w:p>
      <w:pPr>
        <w:keepNext/>
        <w:spacing w:before="120" w:after="80"/>
      </w:pPr>
      <w:r>
        <w:rPr>
          <w:rFonts w:ascii="Segoe UI" w:hAnsi="Segoe UI"/>
          <w:b/>
          <w:color w:val="134074"/>
          <w:sz w:val="16"/>
          <w:shd w:fill="EEF2F6"/>
        </w:rPr>
        <w:t xml:space="preserve"> CONFIRMADA POR NORMA — Directiva 2013/34/UE, Arts. 22 y 23; LSC </w:t>
      </w:r>
    </w:p>
    <w:p>
      <w:pPr>
        <w:spacing w:after="80" w:before="0" w:line="276" w:lineRule="auto"/>
      </w:pPr>
      <w:r>
        <w:rPr>
          <w:rFonts w:ascii="Segoe UI" w:hAnsi="Segoe UI"/>
          <w:i w:val="0"/>
          <w:color w:val="1F2937"/>
          <w:sz w:val="19"/>
        </w:rPr>
        <w:t>Las exenciones de consolidación más habituales en España (transpuestas en el RD 1159/2010) son:</w:t>
      </w:r>
    </w:p>
    <w:tbl>
      <w:tblPr>
        <w:tblW w:type="auto" w:w="0"/>
        <w:jc w:val="center"/>
        <w:tblLayout w:type="fixed"/>
        <w:tblLook w:firstColumn="1" w:firstRow="1" w:lastColumn="0" w:lastRow="0" w:noHBand="0" w:noVBand="1" w:val="04A0"/>
      </w:tblPr>
      <w:tblGrid>
        <w:gridCol w:w="4658"/>
        <w:gridCol w:w="4658"/>
      </w:tblGrid>
      <w:tr>
        <w:trPr>
          <w:tblHeader/>
          <w:cantSplit/>
        </w:trPr>
        <w:tc>
          <w:tcPr>
            <w:tcW w:type="dxa" w:w="3168"/>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Exención</w:t>
            </w:r>
          </w:p>
        </w:tc>
        <w:tc>
          <w:tcPr>
            <w:tcW w:type="dxa" w:w="7200"/>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Requisitos principales</w:t>
            </w:r>
          </w:p>
        </w:tc>
      </w:tr>
      <w:tr>
        <w:trPr>
          <w:cantSplit/>
        </w:trPr>
        <w:tc>
          <w:tcPr>
            <w:tcW w:type="dxa" w:w="31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Grupo pequeño</w:t>
            </w:r>
          </w:p>
        </w:tc>
        <w:tc>
          <w:tcPr>
            <w:tcW w:type="dxa" w:w="720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Que el grupo no supere 2 de 3 umbrales: activos ≤7,5M€, cifra negocio ≤15M€, empleados ≤250</w:t>
            </w:r>
          </w:p>
        </w:tc>
      </w:tr>
      <w:tr>
        <w:trPr>
          <w:cantSplit/>
        </w:trPr>
        <w:tc>
          <w:tcPr>
            <w:tcW w:type="dxa" w:w="316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Subgrupo con dominante UE</w:t>
            </w:r>
          </w:p>
        </w:tc>
        <w:tc>
          <w:tcPr>
            <w:tcW w:type="dxa" w:w="720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Que la filial sea incluida en cuentas consolidadas de una dominante superior (con requisitos de información y sin valores cotizados del subgrupo)</w:t>
            </w:r>
          </w:p>
        </w:tc>
      </w:tr>
      <w:tr>
        <w:trPr>
          <w:cantSplit/>
        </w:trPr>
        <w:tc>
          <w:tcPr>
            <w:tcW w:type="dxa" w:w="31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Filiales inmateriales</w:t>
            </w:r>
          </w:p>
        </w:tc>
        <w:tc>
          <w:tcPr>
            <w:tcW w:type="dxa" w:w="720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Que las participadas sean de importancia relativa mínima (rara vez aplicable a grupos reales)</w:t>
            </w:r>
          </w:p>
        </w:tc>
      </w:tr>
    </w:tbl>
    <w:p>
      <w:pPr>
        <w:spacing w:after="80"/>
      </w:pPr>
    </w:p>
    <w:tbl>
      <w:tblPr>
        <w:tblW w:type="auto" w:w="0"/>
        <w:jc w:val="center"/>
        <w:tblLayout w:type="fixed"/>
        <w:tblLook w:firstColumn="1" w:firstRow="1" w:lastColumn="0" w:lastRow="0" w:noHBand="0" w:noVBand="1" w:val="04A0"/>
      </w:tblPr>
      <w:tblGrid>
        <w:gridCol w:w="9317"/>
      </w:tblGrid>
      <w:tr>
        <w:tc>
          <w:tcPr>
            <w:tcW w:type="dxa" w:w="9317"/>
            <w:shd w:fill="F0F4F8"/>
            <w:tcMar>
              <w:top w:w="120" w:type="dxa"/>
              <w:bottom w:w="120" w:type="dxa"/>
              <w:left w:w="180" w:type="dxa"/>
              <w:right w:w="160" w:type="dxa"/>
            </w:tcMar>
            <w:tcBorders>
              <w:top w:val="none" w:sz="24" w:space="0" w:color="134074"/>
              <w:left w:val="single" w:sz="24" w:space="0" w:color="134074"/>
              <w:bottom w:val="none" w:sz="24" w:space="0" w:color="134074"/>
              <w:right w:val="none" w:sz="24" w:space="0" w:color="134074"/>
            </w:tcBorders>
          </w:tcPr>
          <w:p>
            <w:pPr>
              <w:spacing w:after="0" w:before="0" w:line="276" w:lineRule="auto"/>
            </w:pPr>
            <w:r>
              <w:rPr>
                <w:rFonts w:ascii="Segoe UI" w:hAnsi="Segoe UI"/>
                <w:b/>
                <w:color w:val="0B2545"/>
                <w:sz w:val="19"/>
              </w:rPr>
              <w:t>AVISO OBLIGATORIO</w:t>
              <w:br/>
            </w:r>
            <w:r>
              <w:rPr>
                <w:rFonts w:ascii="Segoe UI" w:hAnsi="Segoe UI"/>
                <w:color w:val="1F2937"/>
                <w:sz w:val="18"/>
              </w:rPr>
              <w:t>La interpretación de estas exenciones varía por jurisdicción, tamaño de la empresa y circunstancias específicas. La determinación de si una sociedad puede acogerse a una exención de consolidación debe realizarse por un experto contable o jurídico en el país concreto, con conocimiento del caso específico.</w:t>
            </w:r>
          </w:p>
        </w:tc>
      </w:tr>
    </w:tbl>
    <w:p>
      <w:pPr>
        <w:spacing w:before="0" w:after="80"/>
      </w:pPr>
    </w:p>
    <w:p>
      <w:pPr>
        <w:keepNext/>
        <w:spacing w:before="240" w:after="80"/>
      </w:pPr>
      <w:r>
        <w:rPr>
          <w:rFonts w:ascii="Segoe UI" w:hAnsi="Segoe UI"/>
          <w:b/>
          <w:color w:val="134074"/>
          <w:sz w:val="23"/>
        </w:rPr>
        <w:t>1.4. ESEF: qué etiqueta y qué no etiqueta</w:t>
      </w:r>
    </w:p>
    <w:p>
      <w:pPr>
        <w:keepNext/>
        <w:spacing w:before="120" w:after="80"/>
      </w:pPr>
      <w:r>
        <w:rPr>
          <w:rFonts w:ascii="Segoe UI" w:hAnsi="Segoe UI"/>
          <w:b/>
          <w:color w:val="134074"/>
          <w:sz w:val="16"/>
          <w:shd w:fill="EEF2F6"/>
        </w:rPr>
        <w:t xml:space="preserve"> CONFIRMADA POR NORMA — Reg. Delegado (UE) 2019/815 (ESEF) y modificaciones </w:t>
      </w:r>
    </w:p>
    <w:p>
      <w:pPr>
        <w:spacing w:after="80" w:before="0" w:line="276" w:lineRule="auto"/>
      </w:pPr>
      <w:r>
        <w:rPr>
          <w:rFonts w:ascii="Segoe UI" w:hAnsi="Segoe UI"/>
          <w:i w:val="0"/>
          <w:color w:val="1F2937"/>
          <w:sz w:val="19"/>
        </w:rPr>
        <w:t>El Reglamento ESEF exige el etiquetado Inline XBRL de los estados financieros primarios:</w:t>
      </w:r>
    </w:p>
    <w:p>
      <w:pPr>
        <w:pStyle w:val="ListBullet"/>
        <w:spacing w:after="60" w:before="0" w:line="276" w:lineRule="auto"/>
        <w:ind w:left="360"/>
      </w:pPr>
      <w:r>
        <w:rPr>
          <w:rFonts w:ascii="Segoe UI" w:hAnsi="Segoe UI"/>
          <w:color w:val="1F2937"/>
          <w:sz w:val="19"/>
        </w:rPr>
        <w:t>Balance (Estado de situación financiera)</w:t>
      </w:r>
    </w:p>
    <w:p>
      <w:pPr>
        <w:pStyle w:val="ListBullet"/>
        <w:spacing w:after="60" w:before="0" w:line="276" w:lineRule="auto"/>
        <w:ind w:left="360"/>
      </w:pPr>
      <w:r>
        <w:rPr>
          <w:rFonts w:ascii="Segoe UI" w:hAnsi="Segoe UI"/>
          <w:color w:val="1F2937"/>
          <w:sz w:val="19"/>
        </w:rPr>
        <w:t>Cuenta de resultados (Estado del resultado del periodo)</w:t>
      </w:r>
    </w:p>
    <w:p>
      <w:pPr>
        <w:pStyle w:val="ListBullet"/>
        <w:spacing w:after="60" w:before="0" w:line="276" w:lineRule="auto"/>
        <w:ind w:left="360"/>
      </w:pPr>
      <w:r>
        <w:rPr>
          <w:rFonts w:ascii="Segoe UI" w:hAnsi="Segoe UI"/>
          <w:color w:val="1F2937"/>
          <w:sz w:val="19"/>
        </w:rPr>
        <w:t>Estado de otro resultado global</w:t>
      </w:r>
    </w:p>
    <w:p>
      <w:pPr>
        <w:pStyle w:val="ListBullet"/>
        <w:spacing w:after="60" w:before="0" w:line="276" w:lineRule="auto"/>
        <w:ind w:left="360"/>
      </w:pPr>
      <w:r>
        <w:rPr>
          <w:rFonts w:ascii="Segoe UI" w:hAnsi="Segoe UI"/>
          <w:color w:val="1F2937"/>
          <w:sz w:val="19"/>
        </w:rPr>
        <w:t>Estado de cambios en el patrimonio neto</w:t>
      </w:r>
    </w:p>
    <w:p>
      <w:pPr>
        <w:pStyle w:val="ListBullet"/>
        <w:spacing w:after="60" w:before="0" w:line="276" w:lineRule="auto"/>
        <w:ind w:left="360"/>
      </w:pPr>
      <w:r>
        <w:rPr>
          <w:rFonts w:ascii="Segoe UI" w:hAnsi="Segoe UI"/>
          <w:color w:val="1F2937"/>
          <w:sz w:val="19"/>
        </w:rPr>
        <w:t>Estado de flujos de efectivo</w:t>
      </w:r>
    </w:p>
    <w:p>
      <w:pPr>
        <w:pStyle w:val="ListBullet"/>
        <w:spacing w:after="60" w:before="0" w:line="276" w:lineRule="auto"/>
        <w:ind w:left="360"/>
      </w:pPr>
      <w:r>
        <w:rPr>
          <w:rFonts w:ascii="Segoe UI" w:hAnsi="Segoe UI"/>
          <w:color w:val="1F2937"/>
          <w:sz w:val="19"/>
        </w:rPr>
        <w:t>Notas a los estados financieros: block tagging (no etiquetado elemento a elemento en todos los casos)</w:t>
      </w:r>
    </w:p>
    <w:p>
      <w:pPr>
        <w:spacing w:after="80" w:before="0" w:line="276" w:lineRule="auto"/>
      </w:pPr>
      <w:r>
        <w:rPr>
          <w:rFonts w:ascii="Segoe UI" w:hAnsi="Segoe UI"/>
          <w:i w:val="0"/>
          <w:color w:val="1F2937"/>
          <w:sz w:val="19"/>
        </w:rPr>
        <w:t>Qué NO está (en general) etiquetado individualmente en ESEF:</w:t>
      </w:r>
    </w:p>
    <w:p>
      <w:pPr>
        <w:pStyle w:val="ListBullet"/>
        <w:spacing w:after="60" w:before="0" w:line="276" w:lineRule="auto"/>
        <w:ind w:left="360"/>
      </w:pPr>
      <w:r>
        <w:rPr>
          <w:rFonts w:ascii="Segoe UI" w:hAnsi="Segoe UI"/>
          <w:color w:val="1F2937"/>
          <w:sz w:val="19"/>
        </w:rPr>
        <w:t>El Informe de Auditoría (incluyendo los KAM bajo ISA 701)</w:t>
      </w:r>
    </w:p>
    <w:p>
      <w:pPr>
        <w:pStyle w:val="ListBullet"/>
        <w:spacing w:after="60" w:before="0" w:line="276" w:lineRule="auto"/>
        <w:ind w:left="360"/>
      </w:pPr>
      <w:r>
        <w:rPr>
          <w:rFonts w:ascii="Segoe UI" w:hAnsi="Segoe UI"/>
          <w:color w:val="1F2937"/>
          <w:sz w:val="19"/>
        </w:rPr>
        <w:t>El Informe de Gestión</w:t>
      </w:r>
    </w:p>
    <w:p>
      <w:pPr>
        <w:pStyle w:val="ListBullet"/>
        <w:spacing w:after="60" w:before="0" w:line="276" w:lineRule="auto"/>
        <w:ind w:left="360"/>
      </w:pPr>
      <w:r>
        <w:rPr>
          <w:rFonts w:ascii="Segoe UI" w:hAnsi="Segoe UI"/>
          <w:color w:val="1F2937"/>
          <w:sz w:val="19"/>
        </w:rPr>
        <w:t>La Declaración de Información No Financiera / Estado de Información de Sostenibilidad</w:t>
      </w:r>
    </w:p>
    <w:p>
      <w:pPr>
        <w:pStyle w:val="ListBullet"/>
        <w:spacing w:after="60" w:before="0" w:line="276" w:lineRule="auto"/>
        <w:ind w:left="360"/>
      </w:pPr>
      <w:r>
        <w:rPr>
          <w:rFonts w:ascii="Segoe UI" w:hAnsi="Segoe UI"/>
          <w:color w:val="1F2937"/>
          <w:sz w:val="19"/>
        </w:rPr>
        <w:t>Las notas narrativas extensas (solo block tagging)</w:t>
      </w:r>
    </w:p>
    <w:p>
      <w:pPr>
        <w:spacing w:after="80" w:before="0" w:line="276" w:lineRule="auto"/>
      </w:pPr>
      <w:r>
        <w:rPr>
          <w:rFonts w:ascii="Segoe UI" w:hAnsi="Segoe UI"/>
          <w:i w:val="0"/>
          <w:color w:val="1F2937"/>
          <w:sz w:val="19"/>
        </w:rPr>
        <w:t>Esta limitación es estructural para nuestra plataforma: los datos más valiosos (KAM, ESG narrativo) no vienen etiquetados de forma sistemática en ESEF. Deben extraerse mediante procesamiento de PDF y HTML con técnicas de NLP.</w:t>
      </w:r>
    </w:p>
    <w:p>
      <w:pPr>
        <w:keepNext/>
        <w:spacing w:before="240" w:after="80"/>
      </w:pPr>
      <w:r>
        <w:rPr>
          <w:rFonts w:ascii="Segoe UI" w:hAnsi="Segoe UI"/>
          <w:b/>
          <w:color w:val="134074"/>
          <w:sz w:val="23"/>
        </w:rPr>
        <w:t>1.5. CSRD: assurance y prestadores autorizados</w:t>
      </w:r>
    </w:p>
    <w:p>
      <w:pPr>
        <w:keepNext/>
        <w:spacing w:before="120" w:after="80"/>
      </w:pPr>
      <w:r>
        <w:rPr>
          <w:rFonts w:ascii="Segoe UI" w:hAnsi="Segoe UI"/>
          <w:b/>
          <w:color w:val="134074"/>
          <w:sz w:val="16"/>
          <w:shd w:fill="EEF2F6"/>
        </w:rPr>
        <w:t xml:space="preserve"> CONFIRMADA POR NORMA — Directiva CSRD 2022/2464; ISSA 5000 IAASB </w:t>
      </w:r>
    </w:p>
    <w:p>
      <w:pPr>
        <w:spacing w:after="80" w:before="0" w:line="276" w:lineRule="auto"/>
      </w:pPr>
      <w:r>
        <w:rPr>
          <w:rFonts w:ascii="Segoe UI" w:hAnsi="Segoe UI"/>
          <w:i w:val="0"/>
          <w:color w:val="1F2937"/>
          <w:sz w:val="19"/>
        </w:rPr>
        <w:t>La Directiva CSRD (UE) 2022/2464 introduce la obligación de que la información de sostenibilidad publicada por las empresas dentro de su ámbito sea sometida a un encargo de aseguramiento por un prestador autorizado.</w:t>
      </w:r>
    </w:p>
    <w:p>
      <w:pPr>
        <w:spacing w:after="80" w:before="0" w:line="276" w:lineRule="auto"/>
      </w:pPr>
      <w:r>
        <w:rPr>
          <w:rFonts w:ascii="Segoe UI" w:hAnsi="Segoe UI"/>
          <w:i w:val="0"/>
          <w:color w:val="1F2937"/>
          <w:sz w:val="19"/>
        </w:rPr>
        <w:t>El nivel inicial de aseguramiento requerido es limitado (equivalente a ISAE 3000 revisado), con un objetivo de transición futura a aseguramiento razonable si la Comisión lo considera apropiado a partir de 2028.</w:t>
      </w:r>
    </w:p>
    <w:p>
      <w:pPr>
        <w:spacing w:after="80" w:before="0" w:line="276" w:lineRule="auto"/>
      </w:pPr>
      <w:r>
        <w:rPr>
          <w:rFonts w:ascii="Segoe UI" w:hAnsi="Segoe UI"/>
          <w:i w:val="0"/>
          <w:color w:val="1F2937"/>
          <w:sz w:val="19"/>
        </w:rPr>
        <w:t>Los prestadores de aseguramiento deben estar autorizados por la normativa nacional. En España, el proyecto de Ley de Información Empresarial sobre Sostenibilidad (LIES) contempla la ampliación del ROAC (Registro Oficial de Auditores de Cuentas) para incluir a verificadores de información de sostenibilidad.</w:t>
      </w:r>
    </w:p>
    <w:tbl>
      <w:tblPr>
        <w:tblW w:type="auto" w:w="0"/>
        <w:jc w:val="center"/>
        <w:tblLayout w:type="fixed"/>
        <w:tblLook w:firstColumn="1" w:firstRow="1" w:lastColumn="0" w:lastRow="0" w:noHBand="0" w:noVBand="1" w:val="04A0"/>
      </w:tblPr>
      <w:tblGrid>
        <w:gridCol w:w="9317"/>
      </w:tblGrid>
      <w:tr>
        <w:tc>
          <w:tcPr>
            <w:tcW w:type="dxa" w:w="9317"/>
            <w:shd w:fill="F0F4F8"/>
            <w:tcMar>
              <w:top w:w="120" w:type="dxa"/>
              <w:bottom w:w="120" w:type="dxa"/>
              <w:left w:w="180" w:type="dxa"/>
              <w:right w:w="160" w:type="dxa"/>
            </w:tcMar>
            <w:tcBorders>
              <w:top w:val="none" w:sz="24" w:space="0" w:color="134074"/>
              <w:left w:val="single" w:sz="24" w:space="0" w:color="134074"/>
              <w:bottom w:val="none" w:sz="24" w:space="0" w:color="134074"/>
              <w:right w:val="none" w:sz="24" w:space="0" w:color="134074"/>
            </w:tcBorders>
          </w:tcPr>
          <w:p>
            <w:pPr>
              <w:spacing w:after="0" w:before="0" w:line="276" w:lineRule="auto"/>
            </w:pPr>
            <w:r>
              <w:rPr>
                <w:rFonts w:ascii="Segoe UI" w:hAnsi="Segoe UI"/>
                <w:b/>
                <w:color w:val="0B2545"/>
                <w:sz w:val="19"/>
              </w:rPr>
              <w:t>IMPLICACIÓN CRÍTICA para nuestra plataforma</w:t>
              <w:br/>
            </w:r>
            <w:r>
              <w:rPr>
                <w:rFonts w:ascii="Segoe UI" w:hAnsi="Segoe UI"/>
                <w:color w:val="1F2937"/>
                <w:sz w:val="18"/>
              </w:rPr>
              <w:t>Una empresa privada que elabora, publica y distribuye datos ESG extraídos de informes de empresas no es, en ningún caso, un prestador de aseguramiento según la CSRD. No puede presentar sus datos como "verificados", "asegurados" ni usar terminología que induzca a confusión con el encargo regulado de assurance. Los datos que publiquemos son el resultado de una investigación y transformación independiente, no de un trabajo de assurance.</w:t>
            </w:r>
          </w:p>
        </w:tc>
      </w:tr>
    </w:tbl>
    <w:p>
      <w:pPr>
        <w:spacing w:before="0" w:after="80"/>
      </w:pPr>
    </w:p>
    <w:p>
      <w:pPr>
        <w:spacing w:after="80" w:before="0" w:line="276" w:lineRule="auto"/>
      </w:pPr>
      <w:r>
        <w:rPr>
          <w:rFonts w:ascii="Segoe UI" w:hAnsi="Segoe UI"/>
          <w:i w:val="0"/>
          <w:color w:val="1F2937"/>
          <w:sz w:val="19"/>
        </w:rPr>
        <w:t>El calendario de aplicación de la CSRD en España (con retrasos en la transposición a agosto de 2026):</w:t>
      </w:r>
    </w:p>
    <w:p>
      <w:pPr>
        <w:pStyle w:val="ListBullet"/>
        <w:spacing w:after="60" w:before="0" w:line="276" w:lineRule="auto"/>
        <w:ind w:left="360"/>
      </w:pPr>
      <w:r>
        <w:rPr>
          <w:rFonts w:ascii="Segoe UI" w:hAnsi="Segoe UI"/>
          <w:b/>
          <w:color w:val="1F2937"/>
          <w:sz w:val="19"/>
        </w:rPr>
        <w:t xml:space="preserve">Ejercicio 2024: </w:t>
      </w:r>
      <w:r>
        <w:rPr>
          <w:rFonts w:ascii="Segoe UI" w:hAnsi="Segoe UI"/>
          <w:color w:val="1F2937"/>
          <w:sz w:val="19"/>
        </w:rPr>
        <w:t>Empresas grandes de interés público con más de 500 empleados (previamente sujetas a NFRD/Ley 11/2018)</w:t>
      </w:r>
    </w:p>
    <w:p>
      <w:pPr>
        <w:pStyle w:val="ListBullet"/>
        <w:spacing w:after="60" w:before="0" w:line="276" w:lineRule="auto"/>
        <w:ind w:left="360"/>
      </w:pPr>
      <w:r>
        <w:rPr>
          <w:rFonts w:ascii="Segoe UI" w:hAnsi="Segoe UI"/>
          <w:b/>
          <w:color w:val="1F2937"/>
          <w:sz w:val="19"/>
        </w:rPr>
        <w:t xml:space="preserve">Ejercicio 2025: </w:t>
      </w:r>
      <w:r>
        <w:rPr>
          <w:rFonts w:ascii="Segoe UI" w:hAnsi="Segoe UI"/>
          <w:color w:val="1F2937"/>
          <w:sz w:val="19"/>
        </w:rPr>
        <w:t>Otras grandes empresas (≥250 empleados y 2 de 3: activos ≥25M€, cifra negocio ≥50M€)</w:t>
      </w:r>
    </w:p>
    <w:p>
      <w:pPr>
        <w:pStyle w:val="ListBullet"/>
        <w:spacing w:after="60" w:before="0" w:line="276" w:lineRule="auto"/>
        <w:ind w:left="360"/>
      </w:pPr>
      <w:r>
        <w:rPr>
          <w:rFonts w:ascii="Segoe UI" w:hAnsi="Segoe UI"/>
          <w:b/>
          <w:color w:val="1F2937"/>
          <w:sz w:val="19"/>
        </w:rPr>
        <w:t xml:space="preserve">Ejercicio 2026: </w:t>
      </w:r>
      <w:r>
        <w:rPr>
          <w:rFonts w:ascii="Segoe UI" w:hAnsi="Segoe UI"/>
          <w:color w:val="1F2937"/>
          <w:sz w:val="19"/>
        </w:rPr>
        <w:t>Pymes cotizadas en mercados regulados (con estándar ESRS PYME voluntario/simplificado)</w:t>
      </w:r>
    </w:p>
    <w:p>
      <w:pPr>
        <w:pStyle w:val="ListBullet"/>
        <w:spacing w:after="60" w:before="0" w:line="276" w:lineRule="auto"/>
        <w:ind w:left="360"/>
      </w:pPr>
      <w:r>
        <w:rPr>
          <w:rFonts w:ascii="Segoe UI" w:hAnsi="Segoe UI"/>
          <w:b/>
          <w:color w:val="1F2937"/>
          <w:sz w:val="19"/>
        </w:rPr>
        <w:t xml:space="preserve">Ejercicio 2028: </w:t>
      </w:r>
      <w:r>
        <w:rPr>
          <w:rFonts w:ascii="Segoe UI" w:hAnsi="Segoe UI"/>
          <w:color w:val="1F2937"/>
          <w:sz w:val="19"/>
        </w:rPr>
        <w:t>Empresas fuera de la UE con actividad significativa en la UE</w:t>
      </w:r>
    </w:p>
    <w:p>
      <w:pPr>
        <w:keepNext/>
        <w:spacing w:before="320" w:after="120"/>
      </w:pPr>
      <w:r>
        <w:rPr>
          <w:rFonts w:ascii="Segoe UI" w:hAnsi="Segoe UI"/>
          <w:b/>
          <w:color w:val="0B2545"/>
          <w:sz w:val="28"/>
        </w:rPr>
        <w:t>CAPÍTULO 2. ACTIVIDAD LEGAL PERMITIDA Y LÍMITES REGULATORIOS</w:t>
      </w:r>
    </w:p>
    <w:p>
      <w:pPr>
        <w:keepNext/>
        <w:spacing w:before="240" w:after="80"/>
      </w:pPr>
      <w:r>
        <w:rPr>
          <w:rFonts w:ascii="Segoe UI" w:hAnsi="Segoe UI"/>
          <w:b/>
          <w:color w:val="134074"/>
          <w:sz w:val="23"/>
        </w:rPr>
        <w:t>2.1. El mapa de actividades permitidas y las que requieren autorización</w:t>
      </w:r>
    </w:p>
    <w:p>
      <w:pPr>
        <w:spacing w:after="80" w:before="0" w:line="276" w:lineRule="auto"/>
      </w:pPr>
      <w:r>
        <w:rPr>
          <w:rFonts w:ascii="Segoe UI" w:hAnsi="Segoe UI"/>
          <w:i w:val="0"/>
          <w:color w:val="1F2937"/>
          <w:sz w:val="19"/>
        </w:rPr>
        <w:t>Una sociedad mercantil española (futura SL) puede legalmente:</w:t>
      </w:r>
    </w:p>
    <w:tbl>
      <w:tblPr>
        <w:tblW w:type="auto" w:w="0"/>
        <w:jc w:val="center"/>
        <w:tblLayout w:type="fixed"/>
        <w:tblLook w:firstColumn="1" w:firstRow="1" w:lastColumn="0" w:lastRow="0" w:noHBand="0" w:noVBand="1" w:val="04A0"/>
      </w:tblPr>
      <w:tblGrid>
        <w:gridCol w:w="3106"/>
        <w:gridCol w:w="3106"/>
        <w:gridCol w:w="3106"/>
      </w:tblGrid>
      <w:tr>
        <w:trPr>
          <w:tblHeader/>
          <w:cantSplit/>
        </w:trPr>
        <w:tc>
          <w:tcPr>
            <w:tcW w:type="dxa" w:w="4320"/>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Actividad</w:t>
            </w:r>
          </w:p>
        </w:tc>
        <w:tc>
          <w:tcPr>
            <w:tcW w:type="dxa" w:w="259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¿Requiere autorización especial?</w:t>
            </w:r>
          </w:p>
        </w:tc>
        <w:tc>
          <w:tcPr>
            <w:tcW w:type="dxa" w:w="3456"/>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Marco legal aplicable</w:t>
            </w:r>
          </w:p>
        </w:tc>
      </w:tr>
      <w:tr>
        <w:trPr>
          <w:cantSplit/>
        </w:trPr>
        <w:tc>
          <w:tcPr>
            <w:tcW w:type="dxa" w:w="432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Investigar información pública</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No</w:t>
            </w:r>
          </w:p>
        </w:tc>
        <w:tc>
          <w:tcPr>
            <w:tcW w:type="dxa" w:w="345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Libre</w:t>
            </w:r>
          </w:p>
        </w:tc>
      </w:tr>
      <w:tr>
        <w:trPr>
          <w:cantSplit/>
        </w:trPr>
        <w:tc>
          <w:tcPr>
            <w:tcW w:type="dxa" w:w="432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Extraer y estructurar datos de documentos públicos (con revisión de licencias)</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No per se</w:t>
            </w:r>
          </w:p>
        </w:tc>
        <w:tc>
          <w:tcPr>
            <w:tcW w:type="dxa" w:w="345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Ley 37/2007, Directiva 2019/1024</w:t>
            </w:r>
          </w:p>
        </w:tc>
      </w:tr>
      <w:tr>
        <w:trPr>
          <w:cantSplit/>
        </w:trPr>
        <w:tc>
          <w:tcPr>
            <w:tcW w:type="dxa" w:w="432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Calcular ratios financieros propios</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No</w:t>
            </w:r>
          </w:p>
        </w:tc>
        <w:tc>
          <w:tcPr>
            <w:tcW w:type="dxa" w:w="345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Libre</w:t>
            </w:r>
          </w:p>
        </w:tc>
      </w:tr>
      <w:tr>
        <w:trPr>
          <w:cantSplit/>
        </w:trPr>
        <w:tc>
          <w:tcPr>
            <w:tcW w:type="dxa" w:w="432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Publicar informes de análisis con firma del autor</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No (con condiciones)</w:t>
            </w:r>
          </w:p>
        </w:tc>
        <w:tc>
          <w:tcPr>
            <w:tcW w:type="dxa" w:w="345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MAR si hay recomendaciones implícitas</w:t>
            </w:r>
          </w:p>
        </w:tc>
      </w:tr>
      <w:tr>
        <w:trPr>
          <w:cantSplit/>
        </w:trPr>
        <w:tc>
          <w:tcPr>
            <w:tcW w:type="dxa" w:w="432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Elaborar ratings ESG propios metodológicamente explicados</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No</w:t>
            </w:r>
          </w:p>
        </w:tc>
        <w:tc>
          <w:tcPr>
            <w:tcW w:type="dxa" w:w="345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Con disclaimer claro</w:t>
            </w:r>
          </w:p>
        </w:tc>
      </w:tr>
      <w:tr>
        <w:trPr>
          <w:cantSplit/>
        </w:trPr>
        <w:tc>
          <w:tcPr>
            <w:tcW w:type="dxa" w:w="432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Publicar estudios sectoriales</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No</w:t>
            </w:r>
          </w:p>
        </w:tc>
        <w:tc>
          <w:tcPr>
            <w:tcW w:type="dxa" w:w="345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Libre</w:t>
            </w:r>
          </w:p>
        </w:tc>
      </w:tr>
      <w:tr>
        <w:trPr>
          <w:cantSplit/>
        </w:trPr>
        <w:tc>
          <w:tcPr>
            <w:tcW w:type="dxa" w:w="432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Ofrecer formación financiera</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No en general</w:t>
            </w:r>
          </w:p>
        </w:tc>
        <w:tc>
          <w:tcPr>
            <w:tcW w:type="dxa" w:w="345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Con límites MiFID para asesoramiento</w:t>
            </w:r>
          </w:p>
        </w:tc>
      </w:tr>
      <w:tr>
        <w:trPr>
          <w:cantSplit/>
        </w:trPr>
        <w:tc>
          <w:tcPr>
            <w:tcW w:type="dxa" w:w="432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Publicar carteras modelo históricas (backtests)</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Zona gris MAR/MiFID</w:t>
            </w:r>
          </w:p>
        </w:tc>
        <w:tc>
          <w:tcPr>
            <w:tcW w:type="dxa" w:w="345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Requiere asesoramiento jurídico</w:t>
            </w:r>
          </w:p>
        </w:tc>
      </w:tr>
      <w:tr>
        <w:trPr>
          <w:cantSplit/>
        </w:trPr>
        <w:tc>
          <w:tcPr>
            <w:tcW w:type="dxa" w:w="432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Publicar señales de inversión actuales sobre instrumentos concretos</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Posiblemente sí</w:t>
            </w:r>
          </w:p>
        </w:tc>
        <w:tc>
          <w:tcPr>
            <w:tcW w:type="dxa" w:w="345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MAR Reg. 596/2014, MiFID II</w:t>
            </w:r>
          </w:p>
        </w:tc>
      </w:tr>
      <w:tr>
        <w:trPr>
          <w:cantSplit/>
        </w:trPr>
        <w:tc>
          <w:tcPr>
            <w:tcW w:type="dxa" w:w="432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Prestar asesoramiento de inversión personalizado</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Sí (ESI o EAF)</w:t>
            </w:r>
          </w:p>
        </w:tc>
        <w:tc>
          <w:tcPr>
            <w:tcW w:type="dxa" w:w="345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Ley 6/2023, MiFID II</w:t>
            </w:r>
          </w:p>
        </w:tc>
      </w:tr>
      <w:tr>
        <w:trPr>
          <w:cantSplit/>
        </w:trPr>
        <w:tc>
          <w:tcPr>
            <w:tcW w:type="dxa" w:w="432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Gestionar carteras de clientes</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Sí (IIC, ESI)</w:t>
            </w:r>
          </w:p>
        </w:tc>
        <w:tc>
          <w:tcPr>
            <w:tcW w:type="dxa" w:w="345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Ley 6/2023</w:t>
            </w:r>
          </w:p>
        </w:tc>
      </w:tr>
      <w:tr>
        <w:trPr>
          <w:cantSplit/>
        </w:trPr>
        <w:tc>
          <w:tcPr>
            <w:tcW w:type="dxa" w:w="432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Emitir assurance de sostenibilidad (ISAE 3000)</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Sí (ROAC/LIES)</w:t>
            </w:r>
          </w:p>
        </w:tc>
        <w:tc>
          <w:tcPr>
            <w:tcW w:type="dxa" w:w="345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Ley 22/2015 modificada</w:t>
            </w:r>
          </w:p>
        </w:tc>
      </w:tr>
      <w:tr>
        <w:trPr>
          <w:cantSplit/>
        </w:trPr>
        <w:tc>
          <w:tcPr>
            <w:tcW w:type="dxa" w:w="432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Realizar auditoría de cuentas</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Sí (ROAC)</w:t>
            </w:r>
          </w:p>
        </w:tc>
        <w:tc>
          <w:tcPr>
            <w:tcW w:type="dxa" w:w="345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Ley 22/2015</w:t>
            </w:r>
          </w:p>
        </w:tc>
      </w:tr>
    </w:tbl>
    <w:p>
      <w:pPr>
        <w:spacing w:after="80"/>
      </w:pPr>
    </w:p>
    <w:p>
      <w:pPr>
        <w:keepNext/>
        <w:spacing w:before="240" w:after="80"/>
      </w:pPr>
      <w:r>
        <w:rPr>
          <w:rFonts w:ascii="Segoe UI" w:hAnsi="Segoe UI"/>
          <w:b/>
          <w:color w:val="134074"/>
          <w:sz w:val="23"/>
        </w:rPr>
        <w:t>2.2. Delimitación del modelo SFI frente al Reglamento MAR</w:t>
      </w:r>
    </w:p>
    <w:p>
      <w:pPr>
        <w:keepNext/>
        <w:spacing w:before="120" w:after="80"/>
      </w:pPr>
      <w:r>
        <w:rPr>
          <w:rFonts w:ascii="Segoe UI" w:hAnsi="Segoe UI"/>
          <w:b/>
          <w:color w:val="134074"/>
          <w:sz w:val="16"/>
          <w:shd w:fill="EEF2F6"/>
        </w:rPr>
        <w:t xml:space="preserve"> CONFIRMADA POR NORMA — Reglamento (UE) 596/2014, Art. 20; Reg. Delegado (UE) 2016/958 </w:t>
      </w:r>
    </w:p>
    <w:p>
      <w:pPr>
        <w:spacing w:after="80" w:before="0" w:line="276" w:lineRule="auto"/>
      </w:pPr>
      <w:r>
        <w:rPr>
          <w:rFonts w:ascii="Segoe UI" w:hAnsi="Segoe UI"/>
          <w:i w:val="0"/>
          <w:color w:val="1F2937"/>
          <w:sz w:val="19"/>
        </w:rPr>
        <w:t>Una "recomendación de inversión" bajo el MAR es cualquier información destinada al público que recomiende o sugiera explícita o implícitamente una estrategia de inversión sobre instrumentos financieros concretos.</w:t>
      </w:r>
    </w:p>
    <w:p>
      <w:pPr>
        <w:spacing w:after="80" w:before="0" w:line="276" w:lineRule="auto"/>
      </w:pPr>
      <w:r>
        <w:rPr>
          <w:rFonts w:ascii="Segoe UI" w:hAnsi="Segoe UI"/>
          <w:i w:val="0"/>
          <w:color w:val="1F2937"/>
          <w:sz w:val="19"/>
        </w:rPr>
        <w:t>Delimitación canónica en el Plan Maestro STATER / Luminic:</w:t>
      </w:r>
    </w:p>
    <w:p>
      <w:pPr>
        <w:spacing w:after="80" w:before="0" w:line="276" w:lineRule="auto"/>
      </w:pPr>
      <w:r>
        <w:rPr>
          <w:rFonts w:ascii="Segoe UI" w:hAnsi="Segoe UI"/>
          <w:i w:val="0"/>
          <w:color w:val="1F2937"/>
          <w:sz w:val="19"/>
        </w:rPr>
        <w:t>El modelo SFI no publica ni emite señales periódicas de compra o venta en vivo sobre empresas cotizadas. Queda estructurado estrictamente como:</w:t>
      </w:r>
    </w:p>
    <w:p>
      <w:pPr>
        <w:pStyle w:val="ListBullet"/>
        <w:spacing w:after="60" w:before="0" w:line="276" w:lineRule="auto"/>
        <w:ind w:left="360"/>
      </w:pPr>
      <w:r>
        <w:rPr>
          <w:rFonts w:ascii="Segoe UI" w:hAnsi="Segoe UI"/>
          <w:b/>
          <w:color w:val="1F2937"/>
          <w:sz w:val="19"/>
        </w:rPr>
        <w:t xml:space="preserve">1. Software educativo y laboratorio de fundamentales: </w:t>
      </w:r>
      <w:r>
        <w:rPr>
          <w:rFonts w:ascii="Segoe UI" w:hAnsi="Segoe UI"/>
          <w:color w:val="1F2937"/>
          <w:sz w:val="19"/>
        </w:rPr>
        <w:t>Una herramienta de escritorio/móvil donde el usuario ejecuta simulaciones y backtests sobre datos históricos con sus propios parámetros.</w:t>
      </w:r>
    </w:p>
    <w:p>
      <w:pPr>
        <w:pStyle w:val="ListBullet"/>
        <w:spacing w:after="60" w:before="0" w:line="276" w:lineRule="auto"/>
        <w:ind w:left="360"/>
      </w:pPr>
      <w:r>
        <w:rPr>
          <w:rFonts w:ascii="Segoe UI" w:hAnsi="Segoe UI"/>
          <w:b/>
          <w:color w:val="1F2937"/>
          <w:sz w:val="19"/>
        </w:rPr>
        <w:t xml:space="preserve">2. Investigación metodológica histórica: </w:t>
      </w:r>
      <w:r>
        <w:rPr>
          <w:rFonts w:ascii="Segoe UI" w:hAnsi="Segoe UI"/>
          <w:color w:val="1F2937"/>
          <w:sz w:val="19"/>
        </w:rPr>
        <w:t>Publicación de estudios empíricos cerrados y carteras modelo retrospectivas para docencia y contraste académico.</w:t>
      </w:r>
    </w:p>
    <w:p>
      <w:pPr>
        <w:spacing w:after="80" w:before="0" w:line="276" w:lineRule="auto"/>
      </w:pPr>
      <w:r>
        <w:rPr>
          <w:rFonts w:ascii="Segoe UI" w:hAnsi="Segoe UI"/>
          <w:i w:val="0"/>
          <w:color w:val="1F2937"/>
          <w:sz w:val="19"/>
        </w:rPr>
        <w:t>Al no difundirse recomendaciones directas sobre instrumentos en tiempo real, la actividad se mantiene en el ámbito tecnológico-educativo y de software de análisis, desacoplada de la figura de recomendación de inversión regulada.</w:t>
      </w:r>
    </w:p>
    <w:p>
      <w:pPr>
        <w:keepNext/>
        <w:spacing w:before="240" w:after="80"/>
      </w:pPr>
      <w:r>
        <w:rPr>
          <w:rFonts w:ascii="Segoe UI" w:hAnsi="Segoe UI"/>
          <w:b/>
          <w:color w:val="134074"/>
          <w:sz w:val="23"/>
        </w:rPr>
        <w:t>2.3. Datos públicos vs. datos redistribuibles comercialmente</w:t>
      </w:r>
    </w:p>
    <w:p>
      <w:pPr>
        <w:keepNext/>
        <w:spacing w:before="120" w:after="80"/>
      </w:pPr>
      <w:r>
        <w:rPr>
          <w:rFonts w:ascii="Segoe UI" w:hAnsi="Segoe UI"/>
          <w:b/>
          <w:color w:val="134074"/>
          <w:sz w:val="16"/>
          <w:shd w:fill="EEF2F6"/>
        </w:rPr>
        <w:t xml:space="preserve"> CONFIRMADA POR NORMA — Directiva (UE) 2019/1024; Ley 37/2007 española </w:t>
      </w:r>
    </w:p>
    <w:p>
      <w:pPr>
        <w:spacing w:after="80" w:before="0" w:line="276" w:lineRule="auto"/>
      </w:pPr>
      <w:r>
        <w:rPr>
          <w:rFonts w:ascii="Segoe UI" w:hAnsi="Segoe UI"/>
          <w:i w:val="0"/>
          <w:color w:val="1F2937"/>
          <w:sz w:val="19"/>
        </w:rPr>
        <w:t>El hecho de que un documento esté disponible en un sitio web oficial no equivale a que pueda redistribuirse comercialmente. La Directiva 2019/1024 sobre datos abiertos y la Ley 37/2007 española establecen condiciones:</w:t>
      </w:r>
    </w:p>
    <w:p>
      <w:pPr>
        <w:pStyle w:val="ListBullet"/>
        <w:spacing w:after="60" w:before="0" w:line="276" w:lineRule="auto"/>
        <w:ind w:left="360"/>
      </w:pPr>
      <w:r>
        <w:rPr>
          <w:rFonts w:ascii="Segoe UI" w:hAnsi="Segoe UI"/>
          <w:color w:val="1F2937"/>
          <w:sz w:val="19"/>
        </w:rPr>
        <w:t>Los organismos del sector público deben poner su información a disposición para su reutilización, pero pueden imponer condiciones (licencias).</w:t>
      </w:r>
    </w:p>
    <w:p>
      <w:pPr>
        <w:pStyle w:val="ListBullet"/>
        <w:spacing w:after="60" w:before="0" w:line="276" w:lineRule="auto"/>
        <w:ind w:left="360"/>
      </w:pPr>
      <w:r>
        <w:rPr>
          <w:rFonts w:ascii="Segoe UI" w:hAnsi="Segoe UI"/>
          <w:color w:val="1F2937"/>
          <w:sz w:val="19"/>
        </w:rPr>
        <w:t>Existen categorías excluidas: datos protegidos por derechos de propiedad intelectual de terceros, datos personales, datos de seguridad, etc.</w:t>
      </w:r>
    </w:p>
    <w:p>
      <w:pPr>
        <w:pStyle w:val="ListBullet"/>
        <w:spacing w:after="60" w:before="0" w:line="276" w:lineRule="auto"/>
        <w:ind w:left="360"/>
      </w:pPr>
      <w:r>
        <w:rPr>
          <w:rFonts w:ascii="Segoe UI" w:hAnsi="Segoe UI"/>
          <w:color w:val="1F2937"/>
          <w:sz w:val="19"/>
        </w:rPr>
        <w:t>Los operadores de mercado (BME, Euronext, Deutsche Börse) son entidades privadas; sus datos de listados y cotizaciones tienen términos de uso propios que deben revisarse individualmente.</w:t>
      </w:r>
    </w:p>
    <w:p>
      <w:pPr>
        <w:spacing w:after="80" w:before="0" w:line="276" w:lineRule="auto"/>
      </w:pPr>
      <w:r>
        <w:rPr>
          <w:rFonts w:ascii="Segoe UI" w:hAnsi="Segoe UI"/>
          <w:i w:val="0"/>
          <w:color w:val="1F2937"/>
          <w:sz w:val="19"/>
        </w:rPr>
        <w:t>Para la plataforma, esto implica:</w:t>
      </w:r>
    </w:p>
    <w:tbl>
      <w:tblPr>
        <w:tblW w:type="auto" w:w="0"/>
        <w:jc w:val="center"/>
        <w:tblLayout w:type="fixed"/>
        <w:tblLook w:firstColumn="1" w:firstRow="1" w:lastColumn="0" w:lastRow="0" w:noHBand="0" w:noVBand="1" w:val="04A0"/>
      </w:tblPr>
      <w:tblGrid>
        <w:gridCol w:w="3106"/>
        <w:gridCol w:w="3106"/>
        <w:gridCol w:w="3106"/>
      </w:tblGrid>
      <w:tr>
        <w:trPr>
          <w:tblHeader/>
          <w:cantSplit/>
        </w:trPr>
        <w:tc>
          <w:tcPr>
            <w:tcW w:type="dxa" w:w="3456"/>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Fuente</w:t>
            </w:r>
          </w:p>
        </w:tc>
        <w:tc>
          <w:tcPr>
            <w:tcW w:type="dxa" w:w="259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Tipo</w:t>
            </w:r>
          </w:p>
        </w:tc>
        <w:tc>
          <w:tcPr>
            <w:tcW w:type="dxa" w:w="4320"/>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Condición de reutilización</w:t>
            </w:r>
          </w:p>
        </w:tc>
      </w:tr>
      <w:tr>
        <w:trPr>
          <w:cantSplit/>
        </w:trPr>
        <w:tc>
          <w:tcPr>
            <w:tcW w:type="dxa" w:w="345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CNMV (filings ESEF, hechos relevantes)</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OAM público</w:t>
            </w:r>
          </w:p>
        </w:tc>
        <w:tc>
          <w:tcPr>
            <w:tcW w:type="dxa" w:w="432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Verificar condiciones de uso publicadas</w:t>
            </w:r>
          </w:p>
        </w:tc>
      </w:tr>
      <w:tr>
        <w:trPr>
          <w:cantSplit/>
        </w:trPr>
        <w:tc>
          <w:tcPr>
            <w:tcW w:type="dxa" w:w="345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AMF / info-financière (Francia)</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API pública</w:t>
            </w:r>
          </w:p>
        </w:tc>
        <w:tc>
          <w:tcPr>
            <w:tcW w:type="dxa" w:w="432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Acceso libre a documentos regulados (verificar T&amp;Cs)</w:t>
            </w:r>
          </w:p>
        </w:tc>
      </w:tr>
      <w:tr>
        <w:trPr>
          <w:cantSplit/>
        </w:trPr>
        <w:tc>
          <w:tcPr>
            <w:tcW w:type="dxa" w:w="345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Bundesanzeiger / Unternehmensregister</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Público con registro</w:t>
            </w:r>
          </w:p>
        </w:tc>
        <w:tc>
          <w:tcPr>
            <w:tcW w:type="dxa" w:w="432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Documentos con posible coste unitario; verificar</w:t>
            </w:r>
          </w:p>
        </w:tc>
      </w:tr>
      <w:tr>
        <w:trPr>
          <w:cantSplit/>
        </w:trPr>
        <w:tc>
          <w:tcPr>
            <w:tcW w:type="dxa" w:w="345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CONSOB / 1INFO (Italia)</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Gestor privado autorizado</w:t>
            </w:r>
          </w:p>
        </w:tc>
        <w:tc>
          <w:tcPr>
            <w:tcW w:type="dxa" w:w="432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Verificar licencias de redistribución</w:t>
            </w:r>
          </w:p>
        </w:tc>
      </w:tr>
      <w:tr>
        <w:trPr>
          <w:cantSplit/>
        </w:trPr>
        <w:tc>
          <w:tcPr>
            <w:tcW w:type="dxa" w:w="345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AFM (Países Bajos)</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OAM público</w:t>
            </w:r>
          </w:p>
        </w:tc>
        <w:tc>
          <w:tcPr>
            <w:tcW w:type="dxa" w:w="432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Verificar condiciones</w:t>
            </w:r>
          </w:p>
        </w:tc>
      </w:tr>
      <w:tr>
        <w:trPr>
          <w:cantSplit/>
        </w:trPr>
        <w:tc>
          <w:tcPr>
            <w:tcW w:type="dxa" w:w="345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BME, Euronext, Deutsche Börse (listados)</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Operador privado</w:t>
            </w:r>
          </w:p>
        </w:tc>
        <w:tc>
          <w:tcPr>
            <w:tcW w:type="dxa" w:w="432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Requieren revisión de contratos</w:t>
            </w:r>
          </w:p>
        </w:tc>
      </w:tr>
      <w:tr>
        <w:trPr>
          <w:cantSplit/>
        </w:trPr>
        <w:tc>
          <w:tcPr>
            <w:tcW w:type="dxa" w:w="345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filings.xbrl.org</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Plataforma pública</w:t>
            </w:r>
          </w:p>
        </w:tc>
        <w:tc>
          <w:tcPr>
            <w:tcW w:type="dxa" w:w="432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Verificar términos de redistribución comercial</w:t>
            </w:r>
          </w:p>
        </w:tc>
      </w:tr>
      <w:tr>
        <w:trPr>
          <w:cantSplit/>
        </w:trPr>
        <w:tc>
          <w:tcPr>
            <w:tcW w:type="dxa" w:w="345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GLEIF (LEI)</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API pública libre</w:t>
            </w:r>
          </w:p>
        </w:tc>
        <w:tc>
          <w:tcPr>
            <w:tcW w:type="dxa" w:w="432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Creative Commons Attribution 4.0</w:t>
            </w:r>
          </w:p>
        </w:tc>
      </w:tr>
    </w:tbl>
    <w:p>
      <w:pPr>
        <w:spacing w:after="80"/>
      </w:pPr>
    </w:p>
    <w:tbl>
      <w:tblPr>
        <w:tblW w:type="auto" w:w="0"/>
        <w:jc w:val="center"/>
        <w:tblLayout w:type="fixed"/>
        <w:tblLook w:firstColumn="1" w:firstRow="1" w:lastColumn="0" w:lastRow="0" w:noHBand="0" w:noVBand="1" w:val="04A0"/>
      </w:tblPr>
      <w:tblGrid>
        <w:gridCol w:w="9317"/>
      </w:tblGrid>
      <w:tr>
        <w:tc>
          <w:tcPr>
            <w:tcW w:type="dxa" w:w="9317"/>
            <w:shd w:fill="F0F4F8"/>
            <w:tcMar>
              <w:top w:w="120" w:type="dxa"/>
              <w:bottom w:w="120" w:type="dxa"/>
              <w:left w:w="180" w:type="dxa"/>
              <w:right w:w="160" w:type="dxa"/>
            </w:tcMar>
            <w:tcBorders>
              <w:top w:val="none" w:sz="24" w:space="0" w:color="134074"/>
              <w:left w:val="single" w:sz="24" w:space="0" w:color="134074"/>
              <w:bottom w:val="none" w:sz="24" w:space="0" w:color="134074"/>
              <w:right w:val="none" w:sz="24" w:space="0" w:color="134074"/>
            </w:tcBorders>
          </w:tcPr>
          <w:p>
            <w:pPr>
              <w:spacing w:after="0" w:before="0" w:line="276" w:lineRule="auto"/>
            </w:pPr>
            <w:r>
              <w:rPr>
                <w:rFonts w:ascii="Segoe UI" w:hAnsi="Segoe UI"/>
                <w:b/>
                <w:color w:val="0B2545"/>
                <w:sz w:val="19"/>
              </w:rPr>
              <w:t>ELEMENTO NO CONFIRMADO — REQUIERE ASESORAMIENTO JURÍDICO</w:t>
              <w:br/>
            </w:r>
            <w:r>
              <w:rPr>
                <w:rFonts w:ascii="Segoe UI" w:hAnsi="Segoe UI"/>
                <w:color w:val="1F2937"/>
                <w:sz w:val="18"/>
              </w:rPr>
              <w:t>Las condiciones exactas de redistribución comercial de datos de los OAMs y operadores de bolsa europeos no pueden confirmarse sin revisión de sus términos de uso actualizados. Este es el primer asesoramiento jurídico que debe obtenerse.</w:t>
            </w:r>
          </w:p>
        </w:tc>
      </w:tr>
    </w:tbl>
    <w:p>
      <w:pPr>
        <w:spacing w:before="0" w:after="80"/>
      </w:pPr>
    </w:p>
    <w:p>
      <w:pPr>
        <w:keepNext/>
        <w:spacing w:before="240" w:after="80"/>
      </w:pPr>
      <w:r>
        <w:rPr>
          <w:rFonts w:ascii="Segoe UI" w:hAnsi="Segoe UI"/>
          <w:b/>
          <w:color w:val="134074"/>
          <w:sz w:val="23"/>
        </w:rPr>
        <w:t>2.4. Firma del autor e informes de investigación independiente</w:t>
      </w:r>
    </w:p>
    <w:p>
      <w:pPr>
        <w:spacing w:after="80" w:before="0" w:line="276" w:lineRule="auto"/>
      </w:pPr>
      <w:r>
        <w:rPr>
          <w:rFonts w:ascii="Segoe UI" w:hAnsi="Segoe UI"/>
          <w:i w:val="0"/>
          <w:color w:val="1F2937"/>
          <w:sz w:val="19"/>
        </w:rPr>
        <w:t>Qué puede hacer la firma de un autor investigador:</w:t>
      </w:r>
    </w:p>
    <w:p>
      <w:pPr>
        <w:spacing w:after="80" w:before="0" w:line="276" w:lineRule="auto"/>
      </w:pPr>
      <w:r>
        <w:rPr>
          <w:rFonts w:ascii="Segoe UI" w:hAnsi="Segoe UI"/>
          <w:i w:val="0"/>
          <w:color w:val="1F2937"/>
          <w:sz w:val="19"/>
        </w:rPr>
        <w:t>La firma de un investigador o analista independiente en un informe tiene el siguiente alcance legal:</w:t>
      </w:r>
    </w:p>
    <w:p>
      <w:pPr>
        <w:pStyle w:val="ListBullet"/>
        <w:spacing w:after="60" w:before="0" w:line="276" w:lineRule="auto"/>
        <w:ind w:left="360"/>
      </w:pPr>
      <w:r>
        <w:rPr>
          <w:rFonts w:ascii="Segoe UI" w:hAnsi="Segoe UI"/>
          <w:b/>
          <w:color w:val="1F2937"/>
          <w:sz w:val="19"/>
        </w:rPr>
        <w:t xml:space="preserve">1. Identifica al responsable de la investigación. </w:t>
      </w:r>
      <w:r>
        <w:rPr>
          <w:rFonts w:ascii="Segoe UI" w:hAnsi="Segoe UI"/>
          <w:color w:val="1F2937"/>
          <w:sz w:val="19"/>
        </w:rPr>
        <w:t>El autor asume responsabilidad civil por errores graves, falsedades o negligencia en la presentación de datos.</w:t>
      </w:r>
    </w:p>
    <w:p>
      <w:pPr>
        <w:pStyle w:val="ListBullet"/>
        <w:spacing w:after="60" w:before="0" w:line="276" w:lineRule="auto"/>
        <w:ind w:left="360"/>
      </w:pPr>
      <w:r>
        <w:rPr>
          <w:rFonts w:ascii="Segoe UI" w:hAnsi="Segoe UI"/>
          <w:b/>
          <w:color w:val="1F2937"/>
          <w:sz w:val="19"/>
        </w:rPr>
        <w:t xml:space="preserve">2. No convierte el informe en auditoría. </w:t>
      </w:r>
      <w:r>
        <w:rPr>
          <w:rFonts w:ascii="Segoe UI" w:hAnsi="Segoe UI"/>
          <w:color w:val="1F2937"/>
          <w:sz w:val="19"/>
        </w:rPr>
        <w:t>La firma no otorga al informe la naturaleza jurídica de informe de auditoría (Ley 22/2015) ni de assurance de sostenibilidad.</w:t>
      </w:r>
    </w:p>
    <w:p>
      <w:pPr>
        <w:pStyle w:val="ListBullet"/>
        <w:spacing w:after="60" w:before="0" w:line="276" w:lineRule="auto"/>
        <w:ind w:left="360"/>
      </w:pPr>
      <w:r>
        <w:rPr>
          <w:rFonts w:ascii="Segoe UI" w:hAnsi="Segoe UI"/>
          <w:b/>
          <w:color w:val="1F2937"/>
          <w:sz w:val="19"/>
        </w:rPr>
        <w:t xml:space="preserve">3. No convierte el informe en recomendación de inversión per se, </w:t>
      </w:r>
      <w:r>
        <w:rPr>
          <w:rFonts w:ascii="Segoe UI" w:hAnsi="Segoe UI"/>
          <w:color w:val="1F2937"/>
          <w:sz w:val="19"/>
        </w:rPr>
        <w:t>siempre que el contenido no cumpla los criterios del MAR.</w:t>
      </w:r>
    </w:p>
    <w:p>
      <w:pPr>
        <w:pStyle w:val="ListBullet"/>
        <w:spacing w:after="60" w:before="0" w:line="276" w:lineRule="auto"/>
        <w:ind w:left="360"/>
      </w:pPr>
      <w:r>
        <w:rPr>
          <w:rFonts w:ascii="Segoe UI" w:hAnsi="Segoe UI"/>
          <w:b/>
          <w:color w:val="1F2937"/>
          <w:sz w:val="19"/>
        </w:rPr>
        <w:t xml:space="preserve">4. No exime de responsabilidad por engaño. </w:t>
      </w:r>
      <w:r>
        <w:rPr>
          <w:rFonts w:ascii="Segoe UI" w:hAnsi="Segoe UI"/>
          <w:color w:val="1F2937"/>
          <w:sz w:val="19"/>
        </w:rPr>
        <w:t>Si el informe contiene afirmaciones falsas o engañosas que causen perjuicio, el autor puede incurrir en responsabilidad civil e incluso penal.</w:t>
      </w:r>
    </w:p>
    <w:p>
      <w:pPr>
        <w:keepNext/>
        <w:spacing w:before="160" w:after="60"/>
      </w:pPr>
      <w:r>
        <w:rPr>
          <w:rFonts w:ascii="Segoe UI" w:hAnsi="Segoe UI"/>
          <w:b/>
          <w:color w:val="1F2937"/>
          <w:sz w:val="21"/>
        </w:rPr>
        <w:t>Controles voluntarios que aumentan la credibilidad</w:t>
      </w:r>
    </w:p>
    <w:p>
      <w:pPr>
        <w:spacing w:after="80" w:before="0" w:line="276" w:lineRule="auto"/>
      </w:pPr>
      <w:r>
        <w:rPr>
          <w:rFonts w:ascii="Segoe UI" w:hAnsi="Segoe UI"/>
          <w:i w:val="0"/>
          <w:color w:val="1F2937"/>
          <w:sz w:val="19"/>
        </w:rPr>
        <w:t>Para un informe de investigación ESG o KAM sin ser assurance regulado:</w:t>
      </w:r>
    </w:p>
    <w:p>
      <w:pPr>
        <w:pStyle w:val="ListBullet"/>
        <w:spacing w:after="60" w:before="0" w:line="276" w:lineRule="auto"/>
        <w:ind w:left="360"/>
      </w:pPr>
      <w:r>
        <w:rPr>
          <w:rFonts w:ascii="Segoe UI" w:hAnsi="Segoe UI"/>
          <w:color w:val="1F2937"/>
          <w:sz w:val="19"/>
        </w:rPr>
        <w:t>Código ético publicado y firmado (sin posiciones en empresas cubiertas o con disclosure completo)</w:t>
      </w:r>
    </w:p>
    <w:p>
      <w:pPr>
        <w:pStyle w:val="ListBullet"/>
        <w:spacing w:after="60" w:before="0" w:line="276" w:lineRule="auto"/>
        <w:ind w:left="360"/>
      </w:pPr>
      <w:r>
        <w:rPr>
          <w:rFonts w:ascii="Segoe UI" w:hAnsi="Segoe UI"/>
          <w:color w:val="1F2937"/>
          <w:sz w:val="19"/>
        </w:rPr>
        <w:t>Política de correcciones: todo error material se corrige con nota visible y fecha</w:t>
      </w:r>
    </w:p>
    <w:p>
      <w:pPr>
        <w:pStyle w:val="ListBullet"/>
        <w:spacing w:after="60" w:before="0" w:line="276" w:lineRule="auto"/>
        <w:ind w:left="360"/>
      </w:pPr>
      <w:r>
        <w:rPr>
          <w:rFonts w:ascii="Segoe UI" w:hAnsi="Segoe UI"/>
          <w:color w:val="1F2937"/>
          <w:sz w:val="19"/>
        </w:rPr>
        <w:t>Separación explícita de "hecho observado" vs. "opinión del autor"</w:t>
      </w:r>
    </w:p>
    <w:p>
      <w:pPr>
        <w:pStyle w:val="ListBullet"/>
        <w:spacing w:after="60" w:before="0" w:line="276" w:lineRule="auto"/>
        <w:ind w:left="360"/>
      </w:pPr>
      <w:r>
        <w:rPr>
          <w:rFonts w:ascii="Segoe UI" w:hAnsi="Segoe UI"/>
          <w:color w:val="1F2937"/>
          <w:sz w:val="19"/>
        </w:rPr>
        <w:t>Repositorio de evidencias (hash del documento fuente + página + fragmento)</w:t>
      </w:r>
    </w:p>
    <w:p>
      <w:pPr>
        <w:pStyle w:val="ListBullet"/>
        <w:spacing w:after="60" w:before="0" w:line="276" w:lineRule="auto"/>
        <w:ind w:left="360"/>
      </w:pPr>
      <w:r>
        <w:rPr>
          <w:rFonts w:ascii="Segoe UI" w:hAnsi="Segoe UI"/>
          <w:color w:val="1F2937"/>
          <w:sz w:val="19"/>
        </w:rPr>
        <w:t>Política de conflictos de interés: no aceptar pago de empresas cubiertas</w:t>
      </w:r>
    </w:p>
    <w:p>
      <w:pPr>
        <w:pStyle w:val="ListBullet"/>
        <w:spacing w:after="60" w:before="0" w:line="276" w:lineRule="auto"/>
        <w:ind w:left="360"/>
      </w:pPr>
      <w:r>
        <w:rPr>
          <w:rFonts w:ascii="Segoe UI" w:hAnsi="Segoe UI"/>
          <w:color w:val="1F2937"/>
          <w:sz w:val="19"/>
        </w:rPr>
        <w:t>Declaración de independencia metodológica</w:t>
      </w:r>
    </w:p>
    <w:p>
      <w:pPr>
        <w:pStyle w:val="ListBullet"/>
        <w:spacing w:after="60" w:before="0" w:line="276" w:lineRule="auto"/>
        <w:ind w:left="360"/>
      </w:pPr>
      <w:r>
        <w:rPr>
          <w:rFonts w:ascii="Segoe UI" w:hAnsi="Segoe UI"/>
          <w:color w:val="1F2937"/>
          <w:sz w:val="19"/>
        </w:rPr>
        <w:t>Comité de revisión interna (cuando existan colaboradores)</w:t>
      </w:r>
    </w:p>
    <w:p>
      <w:pPr>
        <w:pStyle w:val="ListBullet"/>
        <w:spacing w:after="60" w:before="0" w:line="276" w:lineRule="auto"/>
        <w:ind w:left="360"/>
      </w:pPr>
      <w:r>
        <w:rPr>
          <w:rFonts w:ascii="Segoe UI" w:hAnsi="Segoe UI"/>
          <w:color w:val="1F2937"/>
          <w:sz w:val="19"/>
        </w:rPr>
        <w:t>Actualización periódica documentada con fecha de corte visible</w:t>
      </w:r>
    </w:p>
    <w:p>
      <w:pPr>
        <w:keepNext/>
        <w:spacing w:before="160" w:after="60"/>
      </w:pPr>
      <w:r>
        <w:rPr>
          <w:rFonts w:ascii="Segoe UI" w:hAnsi="Segoe UI"/>
          <w:b/>
          <w:color w:val="1F2937"/>
          <w:sz w:val="21"/>
        </w:rPr>
        <w:t>Afirmaciones que NUNCA deben utilizarse en los informes</w:t>
      </w:r>
    </w:p>
    <w:p>
      <w:pPr>
        <w:pStyle w:val="ListBullet"/>
        <w:spacing w:after="60" w:before="0" w:line="276" w:lineRule="auto"/>
        <w:ind w:left="360"/>
      </w:pPr>
      <w:r>
        <w:rPr>
          <w:rFonts w:ascii="Segoe UI" w:hAnsi="Segoe UI"/>
          <w:color w:val="1F2937"/>
          <w:sz w:val="19"/>
        </w:rPr>
        <w:t>"Datos auditados" (salvo que la fuente primaria sea el informe de auditoría con opinión favorable y se cite correctamente)</w:t>
      </w:r>
    </w:p>
    <w:p>
      <w:pPr>
        <w:pStyle w:val="ListBullet"/>
        <w:spacing w:after="60" w:before="0" w:line="276" w:lineRule="auto"/>
        <w:ind w:left="360"/>
      </w:pPr>
      <w:r>
        <w:rPr>
          <w:rFonts w:ascii="Segoe UI" w:hAnsi="Segoe UI"/>
          <w:color w:val="1F2937"/>
          <w:sz w:val="19"/>
        </w:rPr>
        <w:t>"Datos certificados"</w:t>
      </w:r>
    </w:p>
    <w:p>
      <w:pPr>
        <w:pStyle w:val="ListBullet"/>
        <w:spacing w:after="60" w:before="0" w:line="276" w:lineRule="auto"/>
        <w:ind w:left="360"/>
      </w:pPr>
      <w:r>
        <w:rPr>
          <w:rFonts w:ascii="Segoe UI" w:hAnsi="Segoe UI"/>
          <w:color w:val="1F2937"/>
          <w:sz w:val="19"/>
        </w:rPr>
        <w:t>"Verificación independiente" (con el sentido de assurance ISAE/ISSA)</w:t>
      </w:r>
    </w:p>
    <w:p>
      <w:pPr>
        <w:pStyle w:val="ListBullet"/>
        <w:spacing w:after="60" w:before="0" w:line="276" w:lineRule="auto"/>
        <w:ind w:left="360"/>
      </w:pPr>
      <w:r>
        <w:rPr>
          <w:rFonts w:ascii="Segoe UI" w:hAnsi="Segoe UI"/>
          <w:color w:val="1F2937"/>
          <w:sz w:val="19"/>
        </w:rPr>
        <w:t>"KPI conforme a CSRD" sin matizar que la conformidad la declara la empresa, no nosotros</w:t>
      </w:r>
    </w:p>
    <w:p>
      <w:pPr>
        <w:pStyle w:val="ListBullet"/>
        <w:spacing w:after="60" w:before="0" w:line="276" w:lineRule="auto"/>
        <w:ind w:left="360"/>
      </w:pPr>
      <w:r>
        <w:rPr>
          <w:rFonts w:ascii="Segoe UI" w:hAnsi="Segoe UI"/>
          <w:color w:val="1F2937"/>
          <w:sz w:val="19"/>
        </w:rPr>
        <w:t>"Score ESG oficial"</w:t>
      </w:r>
    </w:p>
    <w:p>
      <w:pPr>
        <w:pStyle w:val="ListBullet"/>
        <w:spacing w:after="60" w:before="0" w:line="276" w:lineRule="auto"/>
        <w:ind w:left="360"/>
      </w:pPr>
      <w:r>
        <w:rPr>
          <w:rFonts w:ascii="Segoe UI" w:hAnsi="Segoe UI"/>
          <w:color w:val="1F2937"/>
          <w:sz w:val="19"/>
        </w:rPr>
        <w:t>Cualquier fórmula que sugiera que la plataforma ha realizado un trabajo de assurance o auditoría</w:t>
      </w:r>
    </w:p>
    <w:p>
      <w:pPr>
        <w:keepNext/>
        <w:spacing w:before="240" w:after="80"/>
      </w:pPr>
      <w:r>
        <w:rPr>
          <w:rFonts w:ascii="Segoe UI" w:hAnsi="Segoe UI"/>
          <w:b/>
          <w:color w:val="134074"/>
          <w:sz w:val="23"/>
        </w:rPr>
        <w:t>2.5. Tratamiento Minimalista de Datos de Directivos bajo RGPD</w:t>
      </w:r>
    </w:p>
    <w:p>
      <w:pPr>
        <w:keepNext/>
        <w:spacing w:before="120" w:after="80"/>
      </w:pPr>
      <w:r>
        <w:rPr>
          <w:rFonts w:ascii="Segoe UI" w:hAnsi="Segoe UI"/>
          <w:b/>
          <w:color w:val="134074"/>
          <w:sz w:val="16"/>
          <w:shd w:fill="EEF2F6"/>
        </w:rPr>
        <w:t xml:space="preserve"> CONFIRMADA POR NORMA — Reglamento (UE) 2016/679 (RGPD), Arts. 5.1.c y 6.1 </w:t>
      </w:r>
    </w:p>
    <w:p>
      <w:pPr>
        <w:spacing w:after="80" w:before="0" w:line="276" w:lineRule="auto"/>
      </w:pPr>
      <w:r>
        <w:rPr>
          <w:rFonts w:ascii="Segoe UI" w:hAnsi="Segoe UI"/>
          <w:i w:val="0"/>
          <w:color w:val="1F2937"/>
          <w:sz w:val="19"/>
        </w:rPr>
        <w:t>Los administradores, consejeros y altos directivos de sociedades cotizadas tienen una protección atenuada en el marco de la transparencia del mercado de valores, pero su tratamiento en la plataforma sigue sujeto al principio de minimización de datos:</w:t>
      </w:r>
    </w:p>
    <w:p>
      <w:pPr>
        <w:spacing w:after="80" w:before="0" w:line="276" w:lineRule="auto"/>
      </w:pPr>
      <w:r>
        <w:rPr>
          <w:rFonts w:ascii="Segoe UI" w:hAnsi="Segoe UI"/>
          <w:i w:val="0"/>
          <w:color w:val="1F2937"/>
          <w:sz w:val="19"/>
        </w:rPr>
        <w:t>1. Base jurídica:</w:t>
      </w:r>
    </w:p>
    <w:p>
      <w:pPr>
        <w:pStyle w:val="ListBullet"/>
        <w:spacing w:after="60" w:before="0" w:line="276" w:lineRule="auto"/>
        <w:ind w:left="360"/>
      </w:pPr>
      <w:r>
        <w:rPr>
          <w:rFonts w:ascii="Segoe UI" w:hAnsi="Segoe UI"/>
          <w:b/>
          <w:color w:val="1F2937"/>
          <w:sz w:val="19"/>
        </w:rPr>
        <w:t xml:space="preserve">Art. 6.1.c RGPD (Obligación legal): </w:t>
      </w:r>
      <w:r>
        <w:rPr>
          <w:rFonts w:ascii="Segoe UI" w:hAnsi="Segoe UI"/>
          <w:color w:val="1F2937"/>
          <w:sz w:val="19"/>
        </w:rPr>
        <w:t>La Ley de Sociedades de Capital (Art. 540) y la Ley del Mercado de Valores obligan a las cotizadas a publicar anualmente el Informe Anual de Gobierno Corporativo (IAGC) y el Informe Anual sobre Remuneraciones de los Consejeros (IARC).</w:t>
      </w:r>
    </w:p>
    <w:p>
      <w:pPr>
        <w:pStyle w:val="ListBullet"/>
        <w:spacing w:after="60" w:before="0" w:line="276" w:lineRule="auto"/>
        <w:ind w:left="360"/>
      </w:pPr>
      <w:r>
        <w:rPr>
          <w:rFonts w:ascii="Segoe UI" w:hAnsi="Segoe UI"/>
          <w:b/>
          <w:color w:val="1F2937"/>
          <w:sz w:val="19"/>
        </w:rPr>
        <w:t xml:space="preserve">Art. 6.1.f RGPD (Interés legítimo): </w:t>
      </w:r>
      <w:r>
        <w:rPr>
          <w:rFonts w:ascii="Segoe UI" w:hAnsi="Segoe UI"/>
          <w:color w:val="1F2937"/>
          <w:sz w:val="19"/>
        </w:rPr>
        <w:t>Interés de la comunidad inversora y académica en la transparencia de la gobernanza corporativa.</w:t>
      </w:r>
    </w:p>
    <w:p>
      <w:pPr>
        <w:spacing w:after="80" w:before="0" w:line="276" w:lineRule="auto"/>
      </w:pPr>
      <w:r>
        <w:rPr>
          <w:rFonts w:ascii="Segoe UI" w:hAnsi="Segoe UI"/>
          <w:i w:val="0"/>
          <w:color w:val="1F2937"/>
          <w:sz w:val="19"/>
        </w:rPr>
        <w:t>2. Política de Datos Minimalista en STATER / REX:</w:t>
      </w:r>
    </w:p>
    <w:p>
      <w:pPr>
        <w:pStyle w:val="ListBullet"/>
        <w:spacing w:after="60" w:before="0" w:line="276" w:lineRule="auto"/>
        <w:ind w:left="360"/>
      </w:pPr>
      <w:r>
        <w:rPr>
          <w:rFonts w:ascii="Segoe UI" w:hAnsi="Segoe UI"/>
          <w:b/>
          <w:color w:val="1F2937"/>
          <w:sz w:val="19"/>
        </w:rPr>
        <w:t xml:space="preserve">Informes brutos cerrados: </w:t>
      </w:r>
      <w:r>
        <w:rPr>
          <w:rFonts w:ascii="Segoe UI" w:hAnsi="Segoe UI"/>
          <w:color w:val="1F2937"/>
          <w:sz w:val="19"/>
        </w:rPr>
        <w:t>Los documentos y expedientes brutos no serán de acceso público indiscriminado para toda la web, sino que se gestionarán de forma segmentada y protegida.</w:t>
      </w:r>
    </w:p>
    <w:p>
      <w:pPr>
        <w:pStyle w:val="ListBullet"/>
        <w:spacing w:after="60" w:before="0" w:line="276" w:lineRule="auto"/>
        <w:ind w:left="360"/>
      </w:pPr>
      <w:r>
        <w:rPr>
          <w:rFonts w:ascii="Segoe UI" w:hAnsi="Segoe UI"/>
          <w:b/>
          <w:color w:val="1F2937"/>
          <w:sz w:val="19"/>
        </w:rPr>
        <w:t xml:space="preserve">Datos tratados estrictamente necesarios: </w:t>
      </w:r>
      <w:r>
        <w:rPr>
          <w:rFonts w:ascii="Segoe UI" w:hAnsi="Segoe UI"/>
          <w:color w:val="1F2937"/>
          <w:sz w:val="19"/>
        </w:rPr>
        <w:t>Únicamente Nombre y apellidos, cargo corporativo, fecha de nombramiento/cese, categoría (ejecutivo, dominical, independiente) y retribución total agregada/desglosada oficial.</w:t>
      </w:r>
    </w:p>
    <w:p>
      <w:pPr>
        <w:pStyle w:val="ListBullet"/>
        <w:spacing w:after="60" w:before="0" w:line="276" w:lineRule="auto"/>
        <w:ind w:left="360"/>
      </w:pPr>
      <w:r>
        <w:rPr>
          <w:rFonts w:ascii="Segoe UI" w:hAnsi="Segoe UI"/>
          <w:b/>
          <w:color w:val="1F2937"/>
          <w:sz w:val="19"/>
        </w:rPr>
        <w:t xml:space="preserve">Exclusión total: </w:t>
      </w:r>
      <w:r>
        <w:rPr>
          <w:rFonts w:ascii="Segoe UI" w:hAnsi="Segoe UI"/>
          <w:color w:val="1F2937"/>
          <w:sz w:val="19"/>
        </w:rPr>
        <w:t>No se capturan ni tratan DNI/NIF personal, domicilio particular, correo privado, teléfono ni datos biométricos o familiares.</w:t>
      </w:r>
    </w:p>
    <w:p>
      <w:pPr>
        <w:keepNext/>
        <w:spacing w:before="240" w:after="80"/>
      </w:pPr>
      <w:r>
        <w:rPr>
          <w:rFonts w:ascii="Segoe UI" w:hAnsi="Segoe UI"/>
          <w:b/>
          <w:color w:val="134074"/>
          <w:sz w:val="23"/>
        </w:rPr>
        <w:t>2.6. Propiedad Intelectual de los Datasets Derivados (Directiva 96/9/CE)</w:t>
      </w:r>
    </w:p>
    <w:p>
      <w:pPr>
        <w:keepNext/>
        <w:spacing w:before="120" w:after="80"/>
      </w:pPr>
      <w:r>
        <w:rPr>
          <w:rFonts w:ascii="Segoe UI" w:hAnsi="Segoe UI"/>
          <w:b/>
          <w:color w:val="134074"/>
          <w:sz w:val="16"/>
          <w:shd w:fill="EEF2F6"/>
        </w:rPr>
        <w:t xml:space="preserve"> CONFIRMADA POR NORMA — Directiva 96/9/CE; Arts. 133–137 del Texto Refundido de la Ley de Propiedad Intelectual (TRLPI) </w:t>
      </w:r>
    </w:p>
    <w:p>
      <w:pPr>
        <w:spacing w:after="80" w:before="0" w:line="276" w:lineRule="auto"/>
      </w:pPr>
      <w:r>
        <w:rPr>
          <w:rFonts w:ascii="Segoe UI" w:hAnsi="Segoe UI"/>
          <w:i w:val="0"/>
          <w:color w:val="1F2937"/>
          <w:sz w:val="19"/>
        </w:rPr>
        <w:t>Los datasets elaborados por STATER no son meras copias de documentos públicos, sino el resultado de un proceso sustancial de extracción, normalización, reconciliación contable y enriquecimiento semántico.</w:t>
      </w:r>
    </w:p>
    <w:p>
      <w:pPr>
        <w:spacing w:after="80" w:before="0" w:line="276" w:lineRule="auto"/>
      </w:pPr>
      <w:r>
        <w:rPr>
          <w:rFonts w:ascii="Segoe UI" w:hAnsi="Segoe UI"/>
          <w:i w:val="0"/>
          <w:color w:val="1F2937"/>
          <w:sz w:val="19"/>
        </w:rPr>
        <w:t>1. El Derecho Sui Generis sobre Bases de Datos:</w:t>
      </w:r>
    </w:p>
    <w:p>
      <w:pPr>
        <w:pStyle w:val="ListBullet"/>
        <w:spacing w:after="60" w:before="0" w:line="276" w:lineRule="auto"/>
        <w:ind w:left="360"/>
      </w:pPr>
      <w:r>
        <w:rPr>
          <w:rFonts w:ascii="Segoe UI" w:hAnsi="Segoe UI"/>
          <w:color w:val="1F2937"/>
          <w:sz w:val="19"/>
        </w:rPr>
        <w:t>El Art. 7 de la Directiva 96/9/CE y los Arts. 133–137 de la LPI protegen al fabricante de una base de datos que acredite una inversión sustancial (evaluada cualitativa o cuantitativamente en medios financieros, tiempo y trabajo de ingeniería) para la obtención, verificación o presentación de su contenido.</w:t>
      </w:r>
    </w:p>
    <w:p>
      <w:pPr>
        <w:pStyle w:val="ListBullet"/>
        <w:spacing w:after="60" w:before="0" w:line="276" w:lineRule="auto"/>
        <w:ind w:left="360"/>
      </w:pPr>
      <w:r>
        <w:rPr>
          <w:rFonts w:ascii="Segoe UI" w:hAnsi="Segoe UI"/>
          <w:color w:val="1F2937"/>
          <w:sz w:val="19"/>
        </w:rPr>
        <w:t>Este derecho faculta a STATER a impedir la extracción masiva y/o reutilización no autorizada de la totalidad o de una parte sustancial del contenido de sus bases de datos normalizadas.</w:t>
      </w:r>
    </w:p>
    <w:p>
      <w:pPr>
        <w:spacing w:after="80" w:before="0" w:line="276" w:lineRule="auto"/>
      </w:pPr>
      <w:r>
        <w:rPr>
          <w:rFonts w:ascii="Segoe UI" w:hAnsi="Segoe UI"/>
          <w:i w:val="0"/>
          <w:color w:val="1F2937"/>
          <w:sz w:val="19"/>
        </w:rPr>
        <w:t>2. Canales Gratuitos de Asesoramiento Oficial:</w:t>
      </w:r>
    </w:p>
    <w:p>
      <w:pPr>
        <w:pStyle w:val="ListBullet"/>
        <w:spacing w:after="60" w:before="0" w:line="276" w:lineRule="auto"/>
        <w:ind w:left="360"/>
      </w:pPr>
      <w:r>
        <w:rPr>
          <w:rFonts w:ascii="Segoe UI" w:hAnsi="Segoe UI"/>
          <w:b/>
          <w:color w:val="1F2937"/>
          <w:sz w:val="19"/>
        </w:rPr>
        <w:t xml:space="preserve">Clínicas Jurídicas Universitarias: </w:t>
      </w:r>
      <w:r>
        <w:rPr>
          <w:rFonts w:ascii="Segoe UI" w:hAnsi="Segoe UI"/>
          <w:color w:val="1F2937"/>
          <w:sz w:val="19"/>
        </w:rPr>
        <w:t>Consultas gratuitas a través de departamentos de Derecho Mercantil y Propiedad Intelectual de universidades públicas (UCM, UC3M, UB, UPF).</w:t>
      </w:r>
    </w:p>
    <w:p>
      <w:pPr>
        <w:pStyle w:val="ListBullet"/>
        <w:spacing w:after="60" w:before="0" w:line="276" w:lineRule="auto"/>
        <w:ind w:left="360"/>
      </w:pPr>
      <w:r>
        <w:rPr>
          <w:rFonts w:ascii="Segoe UI" w:hAnsi="Segoe UI"/>
          <w:b/>
          <w:color w:val="1F2937"/>
          <w:sz w:val="19"/>
        </w:rPr>
        <w:t xml:space="preserve">Oficina Española de Patentes y Marcas (OEPM): </w:t>
      </w:r>
      <w:r>
        <w:rPr>
          <w:rFonts w:ascii="Segoe UI" w:hAnsi="Segoe UI"/>
          <w:color w:val="1F2937"/>
          <w:sz w:val="19"/>
        </w:rPr>
        <w:t>Servicios públicos gratuitos de información y orientación para emprendedores y pymes sobre protección de intangibles y bases de datos.</w:t>
      </w:r>
    </w:p>
    <w:p>
      <w:pPr>
        <w:pStyle w:val="ListBullet"/>
        <w:spacing w:after="60" w:before="0" w:line="276" w:lineRule="auto"/>
        <w:ind w:left="360"/>
      </w:pPr>
      <w:r>
        <w:rPr>
          <w:rFonts w:ascii="Segoe UI" w:hAnsi="Segoe UI"/>
          <w:b/>
          <w:color w:val="1F2937"/>
          <w:sz w:val="19"/>
        </w:rPr>
        <w:t xml:space="preserve">Red Enterprise Europe Network (EEN) / CDTI: </w:t>
      </w:r>
      <w:r>
        <w:rPr>
          <w:rFonts w:ascii="Segoe UI" w:hAnsi="Segoe UI"/>
          <w:color w:val="1F2937"/>
          <w:sz w:val="19"/>
        </w:rPr>
        <w:t>Asesoramiento comunitario gratuito sobre propiedad intelectual y transferencia de tecnología.</w:t>
      </w:r>
    </w:p>
    <w:p>
      <w:pPr>
        <w:pStyle w:val="ListBullet"/>
        <w:spacing w:after="60" w:before="0" w:line="276" w:lineRule="auto"/>
        <w:ind w:left="360"/>
      </w:pPr>
      <w:r>
        <w:rPr>
          <w:rFonts w:ascii="Segoe UI" w:hAnsi="Segoe UI"/>
          <w:b/>
          <w:color w:val="1F2937"/>
          <w:sz w:val="19"/>
        </w:rPr>
        <w:t xml:space="preserve">Puntos de Atención al Emprendedor (PAE) y Cámaras de Comercio: </w:t>
      </w:r>
      <w:r>
        <w:rPr>
          <w:rFonts w:ascii="Segoe UI" w:hAnsi="Segoe UI"/>
          <w:color w:val="1F2937"/>
          <w:sz w:val="19"/>
        </w:rPr>
        <w:t>Orientación gratuita previa para la redacción de estatutos y protección del objeto social.</w:t>
      </w:r>
    </w:p>
    <w:p>
      <w:pPr>
        <w:keepNext/>
        <w:spacing w:before="320" w:after="120"/>
      </w:pPr>
      <w:r>
        <w:rPr>
          <w:rFonts w:ascii="Segoe UI" w:hAnsi="Segoe UI"/>
          <w:b/>
          <w:color w:val="0B2545"/>
          <w:sz w:val="28"/>
        </w:rPr>
        <w:t>CAPÍTULO 3. MODELO DE NEGOCIO Y ARQUITECTURA DE MARCA</w:t>
      </w:r>
    </w:p>
    <w:p>
      <w:pPr>
        <w:keepNext/>
        <w:spacing w:before="240" w:after="80"/>
      </w:pPr>
      <w:r>
        <w:rPr>
          <w:rFonts w:ascii="Segoe UI" w:hAnsi="Segoe UI"/>
          <w:b/>
          <w:color w:val="134074"/>
          <w:sz w:val="23"/>
        </w:rPr>
        <w:t>3.1. Arquitectura de marca: tres divisiones, una empresa</w:t>
      </w:r>
    </w:p>
    <w:p>
      <w:pPr>
        <w:spacing w:after="80" w:before="0" w:line="276" w:lineRule="auto"/>
      </w:pPr>
      <w:r>
        <w:rPr>
          <w:rFonts w:ascii="Segoe UI" w:hAnsi="Segoe UI"/>
          <w:i w:val="0"/>
          <w:color w:val="1F2937"/>
          <w:sz w:val="19"/>
        </w:rPr>
        <w:t>Con base en las respuestas del fundador, la estructura de marca recomendada es:</w:t>
      </w:r>
    </w:p>
    <w:tbl>
      <w:tblPr>
        <w:tblW w:type="auto" w:w="0"/>
        <w:jc w:val="center"/>
        <w:tblLayout w:type="fixed"/>
        <w:tblLook w:firstColumn="1" w:firstRow="1" w:lastColumn="0" w:lastRow="0" w:noHBand="0" w:noVBand="1" w:val="04A0"/>
      </w:tblPr>
      <w:tblGrid>
        <w:gridCol w:w="9317"/>
      </w:tblGrid>
      <w:tr>
        <w:tc>
          <w:tcPr>
            <w:tcW w:type="dxa" w:w="9317"/>
            <w:shd w:fill="0F172A"/>
            <w:tcMar>
              <w:top w:w="100" w:type="dxa"/>
              <w:bottom w:w="100" w:type="dxa"/>
              <w:left w:w="140" w:type="dxa"/>
              <w:right w:w="140" w:type="dxa"/>
            </w:tcMar>
            <w:tcBorders>
              <w:top w:val="single" w:sz="6" w:space="0" w:color="334155"/>
              <w:left w:val="single" w:sz="6" w:space="0" w:color="334155"/>
              <w:bottom w:val="single" w:sz="6" w:space="0" w:color="334155"/>
              <w:right w:val="single" w:sz="6" w:space="0" w:color="334155"/>
            </w:tcBorders>
          </w:tcPr>
          <w:p>
            <w:pPr>
              <w:spacing w:after="20" w:before="0" w:line="252" w:lineRule="auto"/>
            </w:pPr>
            <w:r>
              <w:rPr>
                <w:rFonts w:ascii="Consolas" w:hAnsi="Consolas"/>
                <w:color w:val="E2E8F0"/>
                <w:sz w:val="17"/>
              </w:rPr>
              <w:t>STATER, S.L. (empresa matriz operativa)</w:t>
            </w:r>
          </w:p>
          <w:p>
            <w:pPr>
              <w:spacing w:after="20" w:before="0" w:line="252" w:lineRule="auto"/>
            </w:pPr>
            <w:r>
              <w:rPr>
                <w:rFonts w:ascii="Consolas" w:hAnsi="Consolas"/>
                <w:color w:val="E2E8F0"/>
                <w:sz w:val="17"/>
              </w:rPr>
              <w:t>│</w:t>
            </w:r>
          </w:p>
          <w:p>
            <w:pPr>
              <w:spacing w:after="20" w:before="0" w:line="252" w:lineRule="auto"/>
            </w:pPr>
            <w:r>
              <w:rPr>
                <w:rFonts w:ascii="Consolas" w:hAnsi="Consolas"/>
                <w:color w:val="E2E8F0"/>
                <w:sz w:val="17"/>
              </w:rPr>
              <w:t>├── REX (Metadata European Exchange)</w:t>
            </w:r>
          </w:p>
          <w:p>
            <w:pPr>
              <w:spacing w:after="20" w:before="0" w:line="252" w:lineRule="auto"/>
            </w:pPr>
            <w:r>
              <w:rPr>
                <w:rFonts w:ascii="Consolas" w:hAnsi="Consolas"/>
                <w:color w:val="E2E8F0"/>
                <w:sz w:val="17"/>
              </w:rPr>
              <w:t>│   Producto: Motor de datos financieros, auditoría y ESG paneuropeo</w:t>
            </w:r>
          </w:p>
          <w:p>
            <w:pPr>
              <w:spacing w:after="20" w:before="0" w:line="252" w:lineRule="auto"/>
            </w:pPr>
            <w:r>
              <w:rPr>
                <w:rFonts w:ascii="Consolas" w:hAnsi="Consolas"/>
                <w:color w:val="E2E8F0"/>
                <w:sz w:val="17"/>
              </w:rPr>
              <w:t>│   Clientes: institucional, académico, API, datasets</w:t>
            </w:r>
          </w:p>
          <w:p>
            <w:pPr>
              <w:spacing w:after="20" w:before="0" w:line="252" w:lineRule="auto"/>
            </w:pPr>
            <w:r>
              <w:rPr>
                <w:rFonts w:ascii="Consolas" w:hAnsi="Consolas"/>
                <w:color w:val="E2E8F0"/>
                <w:sz w:val="17"/>
              </w:rPr>
              <w:t>│   Web: rex.stater.eu o similar</w:t>
            </w:r>
          </w:p>
          <w:p>
            <w:pPr>
              <w:spacing w:after="20" w:before="0" w:line="252" w:lineRule="auto"/>
            </w:pPr>
            <w:r>
              <w:rPr>
                <w:rFonts w:ascii="Consolas" w:hAnsi="Consolas"/>
                <w:color w:val="E2E8F0"/>
                <w:sz w:val="17"/>
              </w:rPr>
              <w:t>│</w:t>
            </w:r>
          </w:p>
          <w:p>
            <w:pPr>
              <w:spacing w:after="20" w:before="0" w:line="252" w:lineRule="auto"/>
            </w:pPr>
            <w:r>
              <w:rPr>
                <w:rFonts w:ascii="Consolas" w:hAnsi="Consolas"/>
                <w:color w:val="E2E8F0"/>
                <w:sz w:val="17"/>
              </w:rPr>
              <w:t>├── INTRINSIC VALUE</w:t>
            </w:r>
          </w:p>
          <w:p>
            <w:pPr>
              <w:spacing w:after="20" w:before="0" w:line="252" w:lineRule="auto"/>
            </w:pPr>
            <w:r>
              <w:rPr>
                <w:rFonts w:ascii="Consolas" w:hAnsi="Consolas"/>
                <w:color w:val="E2E8F0"/>
                <w:sz w:val="17"/>
              </w:rPr>
              <w:t>│   Producto: Paquetes premium de investigación, informes sectoriales,</w:t>
            </w:r>
          </w:p>
          <w:p>
            <w:pPr>
              <w:spacing w:after="20" w:before="0" w:line="252" w:lineRule="auto"/>
            </w:pPr>
            <w:r>
              <w:rPr>
                <w:rFonts w:ascii="Consolas" w:hAnsi="Consolas"/>
                <w:color w:val="E2E8F0"/>
                <w:sz w:val="17"/>
              </w:rPr>
              <w:t>│             datasets históricos completos, Intrinsic Value Score y</w:t>
            </w:r>
          </w:p>
          <w:p>
            <w:pPr>
              <w:spacing w:after="20" w:before="0" w:line="252" w:lineRule="auto"/>
            </w:pPr>
            <w:r>
              <w:rPr>
                <w:rFonts w:ascii="Consolas" w:hAnsi="Consolas"/>
                <w:color w:val="E2E8F0"/>
                <w:sz w:val="17"/>
              </w:rPr>
              <w:t>│             análisis empresarial independiente de empresas seleccionadas</w:t>
            </w:r>
          </w:p>
          <w:p>
            <w:pPr>
              <w:spacing w:after="20" w:before="0" w:line="252" w:lineRule="auto"/>
            </w:pPr>
            <w:r>
              <w:rPr>
                <w:rFonts w:ascii="Consolas" w:hAnsi="Consolas"/>
                <w:color w:val="E2E8F0"/>
                <w:sz w:val="17"/>
              </w:rPr>
              <w:t>│             a través del software/laboratorio del modelo SFI</w:t>
            </w:r>
          </w:p>
          <w:p>
            <w:pPr>
              <w:spacing w:after="20" w:before="0" w:line="252" w:lineRule="auto"/>
            </w:pPr>
            <w:r>
              <w:rPr>
                <w:rFonts w:ascii="Consolas" w:hAnsi="Consolas"/>
                <w:color w:val="E2E8F0"/>
                <w:sz w:val="17"/>
              </w:rPr>
              <w:t>│   Clientes: gestoras boutique, family offices, consultoras, auditoras</w:t>
            </w:r>
          </w:p>
          <w:p>
            <w:pPr>
              <w:spacing w:after="20" w:before="0" w:line="252" w:lineRule="auto"/>
            </w:pPr>
            <w:r>
              <w:rPr>
                <w:rFonts w:ascii="Consolas" w:hAnsi="Consolas"/>
                <w:color w:val="E2E8F0"/>
                <w:sz w:val="17"/>
              </w:rPr>
              <w:t>│   Web: puede ser sección de stater.eu o dominio propio</w:t>
            </w:r>
          </w:p>
          <w:p>
            <w:pPr>
              <w:spacing w:after="20" w:before="0" w:line="252" w:lineRule="auto"/>
            </w:pPr>
            <w:r>
              <w:rPr>
                <w:rFonts w:ascii="Consolas" w:hAnsi="Consolas"/>
                <w:color w:val="E2E8F0"/>
                <w:sz w:val="17"/>
              </w:rPr>
              <w:t>│</w:t>
            </w:r>
          </w:p>
          <w:p>
            <w:pPr>
              <w:spacing w:after="20" w:before="0" w:line="252" w:lineRule="auto"/>
            </w:pPr>
            <w:r>
              <w:rPr>
                <w:rFonts w:ascii="Consolas" w:hAnsi="Consolas"/>
                <w:color w:val="E2E8F0"/>
                <w:sz w:val="17"/>
              </w:rPr>
              <w:t>└── LUMINIC FINANCE (o nombre definitivo)</w:t>
            </w:r>
          </w:p>
          <w:p>
            <w:pPr>
              <w:spacing w:after="20" w:before="0" w:line="252" w:lineRule="auto"/>
            </w:pPr>
            <w:r>
              <w:rPr>
                <w:rFonts w:ascii="Consolas" w:hAnsi="Consolas"/>
                <w:color w:val="E2E8F0"/>
                <w:sz w:val="17"/>
              </w:rPr>
              <w:t xml:space="preserve">    Producto: Plataforma educativa. Software de aprendizaje financiero,</w:t>
            </w:r>
          </w:p>
          <w:p>
            <w:pPr>
              <w:spacing w:after="20" w:before="0" w:line="252" w:lineRule="auto"/>
            </w:pPr>
            <w:r>
              <w:rPr>
                <w:rFonts w:ascii="Consolas" w:hAnsi="Consolas"/>
                <w:color w:val="E2E8F0"/>
                <w:sz w:val="17"/>
              </w:rPr>
              <w:t xml:space="preserve">              cursos, laboratorio SFI, backtester, preparación EFPA/CFA</w:t>
            </w:r>
          </w:p>
          <w:p>
            <w:pPr>
              <w:spacing w:after="20" w:before="0" w:line="252" w:lineRule="auto"/>
            </w:pPr>
            <w:r>
              <w:rPr>
                <w:rFonts w:ascii="Consolas" w:hAnsi="Consolas"/>
                <w:color w:val="E2E8F0"/>
                <w:sz w:val="17"/>
              </w:rPr>
              <w:t xml:space="preserve">    Clientes: retail, estudiantes, desempleados, inversores autodidactas</w:t>
            </w:r>
          </w:p>
          <w:p>
            <w:pPr>
              <w:spacing w:after="20" w:before="0" w:line="252" w:lineRule="auto"/>
            </w:pPr>
            <w:r>
              <w:rPr>
                <w:rFonts w:ascii="Consolas" w:hAnsi="Consolas"/>
                <w:color w:val="E2E8F0"/>
                <w:sz w:val="17"/>
              </w:rPr>
              <w:t xml:space="preserve">    Web: luminicfinance.eu o similar</w:t>
            </w:r>
          </w:p>
        </w:tc>
      </w:tr>
    </w:tbl>
    <w:p>
      <w:pPr>
        <w:spacing w:after="80"/>
      </w:pPr>
    </w:p>
    <w:p>
      <w:pPr>
        <w:spacing w:after="80" w:before="0" w:line="276" w:lineRule="auto"/>
      </w:pPr>
      <w:r>
        <w:rPr>
          <w:rFonts w:ascii="Segoe UI" w:hAnsi="Segoe UI"/>
          <w:i w:val="0"/>
          <w:color w:val="1F2937"/>
          <w:sz w:val="19"/>
        </w:rPr>
        <w:t>Por qué mantener la misma SL para las tres divisiones en la fase inicial:</w:t>
      </w:r>
    </w:p>
    <w:p>
      <w:pPr>
        <w:pStyle w:val="ListBullet"/>
        <w:spacing w:after="60" w:before="0" w:line="276" w:lineRule="auto"/>
        <w:ind w:left="360"/>
      </w:pPr>
      <w:r>
        <w:rPr>
          <w:rFonts w:ascii="Segoe UI" w:hAnsi="Segoe UI"/>
          <w:b/>
          <w:color w:val="1F2937"/>
          <w:sz w:val="19"/>
        </w:rPr>
        <w:t xml:space="preserve">1. Coste: </w:t>
      </w:r>
      <w:r>
        <w:rPr>
          <w:rFonts w:ascii="Segoe UI" w:hAnsi="Segoe UI"/>
          <w:color w:val="1F2937"/>
          <w:sz w:val="19"/>
        </w:rPr>
        <w:t>Constituir tres SLs multiplica los gastos de administración, contabilidad, auditoría (si aplica) y gestión.</w:t>
      </w:r>
    </w:p>
    <w:p>
      <w:pPr>
        <w:pStyle w:val="ListBullet"/>
        <w:spacing w:after="60" w:before="0" w:line="276" w:lineRule="auto"/>
        <w:ind w:left="360"/>
      </w:pPr>
      <w:r>
        <w:rPr>
          <w:rFonts w:ascii="Segoe UI" w:hAnsi="Segoe UI"/>
          <w:b/>
          <w:color w:val="1F2937"/>
          <w:sz w:val="19"/>
        </w:rPr>
        <w:t xml:space="preserve">2. Simplicidad fiscal: </w:t>
      </w:r>
      <w:r>
        <w:rPr>
          <w:rFonts w:ascii="Segoe UI" w:hAnsi="Segoe UI"/>
          <w:color w:val="1F2937"/>
          <w:sz w:val="19"/>
        </w:rPr>
        <w:t>Una única declaración de IVA, IS y contabilidad.</w:t>
      </w:r>
    </w:p>
    <w:p>
      <w:pPr>
        <w:pStyle w:val="ListBullet"/>
        <w:spacing w:after="60" w:before="0" w:line="276" w:lineRule="auto"/>
        <w:ind w:left="360"/>
      </w:pPr>
      <w:r>
        <w:rPr>
          <w:rFonts w:ascii="Segoe UI" w:hAnsi="Segoe UI"/>
          <w:b/>
          <w:color w:val="1F2937"/>
          <w:sz w:val="19"/>
        </w:rPr>
        <w:t xml:space="preserve">3. Flexibilidad: </w:t>
      </w:r>
      <w:r>
        <w:rPr>
          <w:rFonts w:ascii="Segoe UI" w:hAnsi="Segoe UI"/>
          <w:color w:val="1F2937"/>
          <w:sz w:val="19"/>
        </w:rPr>
        <w:t>Las divisiones pueden separarse en SLs independientes cuando el volumen lo justifique (tipicamente a partir de 300.000–500.000 euros de facturación anual por división).</w:t>
      </w:r>
    </w:p>
    <w:p>
      <w:pPr>
        <w:spacing w:after="80" w:before="0" w:line="276" w:lineRule="auto"/>
      </w:pPr>
      <w:r>
        <w:rPr>
          <w:rFonts w:ascii="Segoe UI" w:hAnsi="Segoe UI"/>
          <w:b/>
          <w:color w:val="1F2937"/>
          <w:sz w:val="19"/>
        </w:rPr>
        <w:t xml:space="preserve">Riesgo de imagen: </w:t>
      </w:r>
      <w:r>
        <w:rPr>
          <w:rFonts w:ascii="Segoe UI" w:hAnsi="Segoe UI"/>
          <w:i w:val="0"/>
          <w:color w:val="1F2937"/>
          <w:sz w:val="19"/>
        </w:rPr>
        <w:t>Si la división educativa o la de señales SFI generase una controversia regulatoria, podría afectar a la reputación de la división de datos. Este riesgo debe gestionarse con separación contractual y de imagen aunque la estructura legal sea unitaria.</w:t>
      </w:r>
    </w:p>
    <w:p>
      <w:pPr>
        <w:spacing w:after="80" w:before="0" w:line="276" w:lineRule="auto"/>
      </w:pPr>
      <w:r>
        <w:rPr>
          <w:rFonts w:ascii="Segoe UI" w:hAnsi="Segoe UI"/>
          <w:b/>
          <w:color w:val="1F2937"/>
          <w:sz w:val="19"/>
        </w:rPr>
        <w:t xml:space="preserve">Separación de dominios y términos de uso: </w:t>
      </w:r>
      <w:r>
        <w:rPr>
          <w:rFonts w:ascii="Segoe UI" w:hAnsi="Segoe UI"/>
          <w:i w:val="0"/>
          <w:color w:val="1F2937"/>
          <w:sz w:val="19"/>
        </w:rPr>
        <w:t>Cada producto debe tener sus propios términos de uso, política de privacidad y disclaimers adaptados. La marca educativa no debe mezclar el lenguaje de datos estructurados con contenidos que parezcan asesoramiento.</w:t>
      </w:r>
    </w:p>
    <w:p>
      <w:pPr>
        <w:keepNext/>
        <w:spacing w:before="240" w:after="80"/>
      </w:pPr>
      <w:r>
        <w:rPr>
          <w:rFonts w:ascii="Segoe UI" w:hAnsi="Segoe UI"/>
          <w:b/>
          <w:color w:val="134074"/>
          <w:sz w:val="23"/>
        </w:rPr>
        <w:t>3.2. Filosofía de precio y accesibilidad</w:t>
      </w:r>
    </w:p>
    <w:p>
      <w:pPr>
        <w:spacing w:after="80" w:before="0" w:line="276" w:lineRule="auto"/>
      </w:pPr>
      <w:r>
        <w:rPr>
          <w:rFonts w:ascii="Segoe UI" w:hAnsi="Segoe UI"/>
          <w:i w:val="0"/>
          <w:color w:val="1F2937"/>
          <w:sz w:val="19"/>
        </w:rPr>
        <w:t>El modelo de precio diseñado persigue tres objetivos simultáneos:</w:t>
      </w:r>
    </w:p>
    <w:tbl>
      <w:tblPr>
        <w:tblW w:type="auto" w:w="0"/>
        <w:jc w:val="center"/>
        <w:tblLayout w:type="fixed"/>
        <w:tblLook w:firstColumn="1" w:firstRow="1" w:lastColumn="0" w:lastRow="0" w:noHBand="0" w:noVBand="1" w:val="04A0"/>
      </w:tblPr>
      <w:tblGrid>
        <w:gridCol w:w="4658"/>
        <w:gridCol w:w="4658"/>
      </w:tblGrid>
      <w:tr>
        <w:trPr>
          <w:tblHeader/>
          <w:cantSplit/>
        </w:trPr>
        <w:tc>
          <w:tcPr>
            <w:tcW w:type="dxa" w:w="3600"/>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Objetivo</w:t>
            </w:r>
          </w:p>
        </w:tc>
        <w:tc>
          <w:tcPr>
            <w:tcW w:type="dxa" w:w="6768"/>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Mecanismo</w:t>
            </w:r>
          </w:p>
        </w:tc>
      </w:tr>
      <w:tr>
        <w:trPr>
          <w:cantSplit/>
        </w:trPr>
        <w:tc>
          <w:tcPr>
            <w:tcW w:type="dxa" w:w="360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Acceso democrático</w:t>
            </w:r>
          </w:p>
        </w:tc>
        <w:tc>
          <w:tcPr>
            <w:tcW w:type="dxa" w:w="67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Nivel gratuito permanente sin límite de tiempo</w:t>
            </w:r>
          </w:p>
        </w:tc>
      </w:tr>
      <w:tr>
        <w:trPr>
          <w:cantSplit/>
        </w:trPr>
        <w:tc>
          <w:tcPr>
            <w:tcW w:type="dxa" w:w="360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Sostenibilidad financiera</w:t>
            </w:r>
          </w:p>
        </w:tc>
        <w:tc>
          <w:tcPr>
            <w:tcW w:type="dxa" w:w="676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Ingresos institucionales y API que financian el acceso gratuito</w:t>
            </w:r>
          </w:p>
        </w:tc>
      </w:tr>
      <w:tr>
        <w:trPr>
          <w:cantSplit/>
        </w:trPr>
        <w:tc>
          <w:tcPr>
            <w:tcW w:type="dxa" w:w="360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Independencia editorial</w:t>
            </w:r>
          </w:p>
        </w:tc>
        <w:tc>
          <w:tcPr>
            <w:tcW w:type="dxa" w:w="67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Prohibición de cobro a empresas por mejorar su score o visibilidad</w:t>
            </w:r>
          </w:p>
        </w:tc>
      </w:tr>
    </w:tbl>
    <w:p>
      <w:pPr>
        <w:spacing w:after="80"/>
      </w:pPr>
    </w:p>
    <w:p>
      <w:pPr>
        <w:keepNext/>
        <w:spacing w:before="160" w:after="60"/>
      </w:pPr>
      <w:r>
        <w:rPr>
          <w:rFonts w:ascii="Segoe UI" w:hAnsi="Segoe UI"/>
          <w:b/>
          <w:color w:val="1F2937"/>
          <w:sz w:val="21"/>
        </w:rPr>
        <w:t>Niveles de acceso propuestos</w:t>
      </w:r>
    </w:p>
    <w:tbl>
      <w:tblPr>
        <w:tblW w:type="auto" w:w="0"/>
        <w:jc w:val="center"/>
        <w:tblLayout w:type="fixed"/>
        <w:tblLook w:firstColumn="1" w:firstRow="1" w:lastColumn="0" w:lastRow="0" w:noHBand="0" w:noVBand="1" w:val="04A0"/>
      </w:tblPr>
      <w:tblGrid>
        <w:gridCol w:w="3106"/>
        <w:gridCol w:w="3106"/>
        <w:gridCol w:w="3106"/>
      </w:tblGrid>
      <w:tr>
        <w:trPr>
          <w:tblHeader/>
          <w:cantSplit/>
        </w:trPr>
        <w:tc>
          <w:tcPr>
            <w:tcW w:type="dxa" w:w="259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Nivel</w:t>
            </w:r>
          </w:p>
        </w:tc>
        <w:tc>
          <w:tcPr>
            <w:tcW w:type="dxa" w:w="259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Precio</w:t>
            </w:r>
          </w:p>
        </w:tc>
        <w:tc>
          <w:tcPr>
            <w:tcW w:type="dxa" w:w="5184"/>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Acceso</w:t>
            </w:r>
          </w:p>
        </w:tc>
      </w:tr>
      <w:tr>
        <w:trPr>
          <w:cantSplit/>
        </w:trPr>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Gratuito</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0 €/mes</w:t>
            </w:r>
          </w:p>
        </w:tc>
        <w:tc>
          <w:tcPr>
            <w:tcW w:type="dxa" w:w="5184"/>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Perfil básico de empresa, ratios principales, datos del último año, 50 empresas/mes</w:t>
            </w:r>
          </w:p>
        </w:tc>
      </w:tr>
      <w:tr>
        <w:trPr>
          <w:cantSplit/>
        </w:trPr>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Retail / Investigador</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t>12 €/mes</w:t>
            </w:r>
          </w:p>
        </w:tc>
        <w:tc>
          <w:tcPr>
            <w:tcW w:type="dxa" w:w="5184"/>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Histórico 5 años, todos los sectores, descarga CSV limitada, acceso a KAM y ESG básico</w:t>
            </w:r>
          </w:p>
        </w:tc>
      </w:tr>
      <w:tr>
        <w:trPr>
          <w:cantSplit/>
        </w:trPr>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Académico</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100–500 €/año (institución)</w:t>
            </w:r>
          </w:p>
        </w:tc>
        <w:tc>
          <w:tcPr>
            <w:tcW w:type="dxa" w:w="5184"/>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Dataset completo documentado, acceso API limitada, notebooks, código fuente</w:t>
            </w:r>
          </w:p>
        </w:tc>
      </w:tr>
      <w:tr>
        <w:trPr>
          <w:cantSplit/>
        </w:trPr>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Profesional / Gestora</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t>3.500 €/año</w:t>
            </w:r>
          </w:p>
        </w:tc>
        <w:tc>
          <w:tcPr>
            <w:tcW w:type="dxa" w:w="5184"/>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API con mayor límite, todos los países, KAM + ESG + scores, alertas</w:t>
            </w:r>
          </w:p>
        </w:tc>
      </w:tr>
      <w:tr>
        <w:trPr>
          <w:cantSplit/>
        </w:trPr>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Institucional / Empresa</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10.000–50.000 €/año</w:t>
            </w:r>
          </w:p>
        </w:tc>
        <w:tc>
          <w:tcPr>
            <w:tcW w:type="dxa" w:w="5184"/>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API sin límite, datasets bulk, informes personalizados, SLA, soporte</w:t>
            </w:r>
          </w:p>
        </w:tc>
      </w:tr>
      <w:tr>
        <w:trPr>
          <w:cantSplit/>
        </w:trPr>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Emisora</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300–2.000 €/año</w:t>
            </w:r>
          </w:p>
        </w:tc>
        <w:tc>
          <w:tcPr>
            <w:tcW w:type="dxa" w:w="5184"/>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Acceso a su propio perfil, comparativa sectorial, invitaciones a terceros</w:t>
            </w:r>
          </w:p>
        </w:tc>
      </w:tr>
    </w:tbl>
    <w:p>
      <w:pPr>
        <w:spacing w:after="80"/>
      </w:pPr>
    </w:p>
    <w:p>
      <w:pPr>
        <w:spacing w:after="80" w:before="0" w:line="276" w:lineRule="auto"/>
      </w:pPr>
      <w:r>
        <w:rPr>
          <w:rFonts w:ascii="Segoe UI" w:hAnsi="Segoe UI"/>
          <w:i/>
          <w:color w:val="1F2937"/>
          <w:sz w:val="19"/>
        </w:rPr>
        <w:t>Todos los precios son hipótesis empresariales, no confirmadas por validación de mercado. Deben validarse con al menos 20 entrevistas a clientes potenciales antes de fijarlos definitivamente.</w:t>
      </w:r>
    </w:p>
    <w:p>
      <w:pPr>
        <w:keepNext/>
        <w:spacing w:before="240" w:after="80"/>
      </w:pPr>
      <w:r>
        <w:rPr>
          <w:rFonts w:ascii="Segoe UI" w:hAnsi="Segoe UI"/>
          <w:b/>
          <w:color w:val="134074"/>
          <w:sz w:val="23"/>
        </w:rPr>
        <w:t>3.3. El producto diferencial: la comunidad de empresa-inversor</w:t>
      </w:r>
    </w:p>
    <w:p>
      <w:pPr>
        <w:spacing w:after="80" w:before="0" w:line="276" w:lineRule="auto"/>
      </w:pPr>
      <w:r>
        <w:rPr>
          <w:rFonts w:ascii="Segoe UI" w:hAnsi="Segoe UI"/>
          <w:i w:val="0"/>
          <w:color w:val="1F2937"/>
          <w:sz w:val="19"/>
        </w:rPr>
        <w:t>Una característica original del diseño es que las empresas emisoras pueden invitar a inversores o analistas específicos a ver su perfil completo, gestionando de forma privada quién tiene acceso a determinados análisis de su empresa. Esto crea un modelo de acceso segmentado por invitación que diferencia a STATER/REX de cualquier agregador pasivo de datos.</w:t>
      </w:r>
    </w:p>
    <w:p>
      <w:pPr>
        <w:spacing w:after="80" w:before="0" w:line="276" w:lineRule="auto"/>
      </w:pPr>
      <w:r>
        <w:rPr>
          <w:rFonts w:ascii="Segoe UI" w:hAnsi="Segoe UI"/>
          <w:i w:val="0"/>
          <w:color w:val="1F2937"/>
          <w:sz w:val="19"/>
        </w:rPr>
        <w:t>Este modelo requiere:</w:t>
      </w:r>
    </w:p>
    <w:p>
      <w:pPr>
        <w:pStyle w:val="ListBullet"/>
        <w:spacing w:after="60" w:before="0" w:line="276" w:lineRule="auto"/>
        <w:ind w:left="360"/>
      </w:pPr>
      <w:r>
        <w:rPr>
          <w:rFonts w:ascii="Segoe UI" w:hAnsi="Segoe UI"/>
          <w:color w:val="1F2937"/>
          <w:sz w:val="19"/>
        </w:rPr>
        <w:t>Sistema de gestión de usuarios con roles (empresa, inversor invitado, usuario registrado)</w:t>
      </w:r>
    </w:p>
    <w:p>
      <w:pPr>
        <w:pStyle w:val="ListBullet"/>
        <w:spacing w:after="60" w:before="0" w:line="276" w:lineRule="auto"/>
        <w:ind w:left="360"/>
      </w:pPr>
      <w:r>
        <w:rPr>
          <w:rFonts w:ascii="Segoe UI" w:hAnsi="Segoe UI"/>
          <w:color w:val="1F2937"/>
          <w:sz w:val="19"/>
        </w:rPr>
        <w:t>Política de privacidad que contemple el tratamiento de datos de usuarios empresariales (RGPD)</w:t>
      </w:r>
    </w:p>
    <w:p>
      <w:pPr>
        <w:pStyle w:val="ListBullet"/>
        <w:spacing w:after="60" w:before="0" w:line="276" w:lineRule="auto"/>
        <w:ind w:left="360"/>
      </w:pPr>
      <w:r>
        <w:rPr>
          <w:rFonts w:ascii="Segoe UI" w:hAnsi="Segoe UI"/>
          <w:color w:val="1F2937"/>
          <w:sz w:val="19"/>
        </w:rPr>
        <w:t>Separación clara entre el contenido generado por la plataforma (datos estructurados) y la información que la empresa pueda querer aportar voluntariamente</w:t>
      </w:r>
    </w:p>
    <w:p>
      <w:pPr>
        <w:pStyle w:val="ListBullet"/>
        <w:spacing w:after="60" w:before="0" w:line="276" w:lineRule="auto"/>
        <w:ind w:left="360"/>
      </w:pPr>
      <w:r>
        <w:rPr>
          <w:rFonts w:ascii="Segoe UI" w:hAnsi="Segoe UI"/>
          <w:color w:val="1F2937"/>
          <w:sz w:val="19"/>
        </w:rPr>
        <w:t>Advertencia a las empresas de que sus datos en la plataforma proceden de fuentes públicas y son independientes de sus preferencias</w:t>
      </w:r>
    </w:p>
    <w:p>
      <w:pPr>
        <w:keepNext/>
        <w:spacing w:before="320" w:after="120"/>
      </w:pPr>
      <w:r>
        <w:rPr>
          <w:rFonts w:ascii="Segoe UI" w:hAnsi="Segoe UI"/>
          <w:b/>
          <w:color w:val="0B2545"/>
          <w:sz w:val="28"/>
        </w:rPr>
        <w:t>CAPÍTULO 4. PRODUCTOS Y DISTRIBUCIÓN</w:t>
      </w:r>
    </w:p>
    <w:p>
      <w:pPr>
        <w:keepNext/>
        <w:spacing w:before="240" w:after="80"/>
      </w:pPr>
      <w:r>
        <w:rPr>
          <w:rFonts w:ascii="Segoe UI" w:hAnsi="Segoe UI"/>
          <w:b/>
          <w:color w:val="134074"/>
          <w:sz w:val="23"/>
        </w:rPr>
        <w:t>4.1. Fases de desarrollo de producto</w:t>
      </w:r>
    </w:p>
    <w:p>
      <w:pPr>
        <w:spacing w:after="80" w:before="0" w:line="276" w:lineRule="auto"/>
      </w:pPr>
      <w:r>
        <w:rPr>
          <w:rFonts w:ascii="Segoe UI" w:hAnsi="Segoe UI"/>
          <w:i w:val="0"/>
          <w:color w:val="1F2937"/>
          <w:sz w:val="19"/>
        </w:rPr>
        <w:t>El fundador ha confirmado la siguiente secuencia de desarrollo por capas:</w:t>
      </w:r>
    </w:p>
    <w:tbl>
      <w:tblPr>
        <w:tblW w:type="auto" w:w="0"/>
        <w:jc w:val="center"/>
        <w:tblLayout w:type="fixed"/>
        <w:tblLook w:firstColumn="1" w:firstRow="1" w:lastColumn="0" w:lastRow="0" w:noHBand="0" w:noVBand="1" w:val="04A0"/>
      </w:tblPr>
      <w:tblGrid>
        <w:gridCol w:w="9317"/>
      </w:tblGrid>
      <w:tr>
        <w:tc>
          <w:tcPr>
            <w:tcW w:type="dxa" w:w="9317"/>
            <w:shd w:fill="0F172A"/>
            <w:tcMar>
              <w:top w:w="100" w:type="dxa"/>
              <w:bottom w:w="100" w:type="dxa"/>
              <w:left w:w="140" w:type="dxa"/>
              <w:right w:w="140" w:type="dxa"/>
            </w:tcMar>
            <w:tcBorders>
              <w:top w:val="single" w:sz="6" w:space="0" w:color="334155"/>
              <w:left w:val="single" w:sz="6" w:space="0" w:color="334155"/>
              <w:bottom w:val="single" w:sz="6" w:space="0" w:color="334155"/>
              <w:right w:val="single" w:sz="6" w:space="0" w:color="334155"/>
            </w:tcBorders>
          </w:tcPr>
          <w:p>
            <w:pPr>
              <w:spacing w:after="20" w:before="0" w:line="252" w:lineRule="auto"/>
            </w:pPr>
            <w:r>
              <w:rPr>
                <w:rFonts w:ascii="Consolas" w:hAnsi="Consolas"/>
                <w:color w:val="E2E8F0"/>
                <w:sz w:val="17"/>
              </w:rPr>
              <w:t>FASE 1 (0-6 meses): Datos Financieros + KAM + ESG</w:t>
            </w:r>
          </w:p>
          <w:p>
            <w:pPr>
              <w:spacing w:after="20" w:before="0" w:line="252" w:lineRule="auto"/>
            </w:pPr>
            <w:r>
              <w:rPr>
                <w:rFonts w:ascii="Consolas" w:hAnsi="Consolas"/>
                <w:color w:val="E2E8F0"/>
                <w:sz w:val="17"/>
              </w:rPr>
              <w:t>│ Balance, PyG, Flujos de efectivo (NIIF y PGC)</w:t>
            </w:r>
          </w:p>
          <w:p>
            <w:pPr>
              <w:spacing w:after="20" w:before="0" w:line="252" w:lineRule="auto"/>
            </w:pPr>
            <w:r>
              <w:rPr>
                <w:rFonts w:ascii="Consolas" w:hAnsi="Consolas"/>
                <w:color w:val="E2E8F0"/>
                <w:sz w:val="17"/>
              </w:rPr>
              <w:t>│ KAM bajo ISA 701 (texto, área contable, auditor)</w:t>
            </w:r>
          </w:p>
          <w:p>
            <w:pPr>
              <w:spacing w:after="20" w:before="0" w:line="252" w:lineRule="auto"/>
            </w:pPr>
            <w:r>
              <w:rPr>
                <w:rFonts w:ascii="Consolas" w:hAnsi="Consolas"/>
                <w:color w:val="E2E8F0"/>
                <w:sz w:val="17"/>
              </w:rPr>
              <w:t>│ Datos ESG primarios (ESRS E1-G1, sin score)</w:t>
            </w:r>
          </w:p>
          <w:p>
            <w:pPr>
              <w:spacing w:after="20" w:before="0" w:line="252" w:lineRule="auto"/>
            </w:pPr>
            <w:r>
              <w:rPr>
                <w:rFonts w:ascii="Consolas" w:hAnsi="Consolas"/>
                <w:color w:val="E2E8F0"/>
                <w:sz w:val="17"/>
              </w:rPr>
              <w:t>│ España (primeras 500 empresas)</w:t>
            </w:r>
          </w:p>
          <w:p>
            <w:pPr>
              <w:spacing w:after="20" w:before="0" w:line="252" w:lineRule="auto"/>
            </w:pPr>
            <w:r>
              <w:rPr>
                <w:rFonts w:ascii="Consolas" w:hAnsi="Consolas"/>
                <w:color w:val="E2E8F0"/>
                <w:sz w:val="17"/>
              </w:rPr>
              <w:t>│</w:t>
            </w:r>
          </w:p>
          <w:p>
            <w:pPr>
              <w:spacing w:after="20" w:before="0" w:line="252" w:lineRule="auto"/>
            </w:pPr>
            <w:r>
              <w:rPr>
                <w:rFonts w:ascii="Consolas" w:hAnsi="Consolas"/>
                <w:color w:val="E2E8F0"/>
                <w:sz w:val="17"/>
              </w:rPr>
              <w:t>FASE 2 (6-12 meses): Scores + Ratios + Metadatos</w:t>
            </w:r>
          </w:p>
          <w:p>
            <w:pPr>
              <w:spacing w:after="20" w:before="0" w:line="252" w:lineRule="auto"/>
            </w:pPr>
            <w:r>
              <w:rPr>
                <w:rFonts w:ascii="Consolas" w:hAnsi="Consolas"/>
                <w:color w:val="E2E8F0"/>
                <w:sz w:val="17"/>
              </w:rPr>
              <w:t>│ Ratios calculados (P/B, D/EBITDA, ROE, etc.)</w:t>
            </w:r>
          </w:p>
          <w:p>
            <w:pPr>
              <w:spacing w:after="20" w:before="0" w:line="252" w:lineRule="auto"/>
            </w:pPr>
            <w:r>
              <w:rPr>
                <w:rFonts w:ascii="Consolas" w:hAnsi="Consolas"/>
                <w:color w:val="E2E8F0"/>
                <w:sz w:val="17"/>
              </w:rPr>
              <w:t>│ Score ESG propio (descompuesto, explicado, con evidencia)</w:t>
            </w:r>
          </w:p>
          <w:p>
            <w:pPr>
              <w:spacing w:after="20" w:before="0" w:line="252" w:lineRule="auto"/>
            </w:pPr>
            <w:r>
              <w:rPr>
                <w:rFonts w:ascii="Consolas" w:hAnsi="Consolas"/>
                <w:color w:val="E2E8F0"/>
                <w:sz w:val="17"/>
              </w:rPr>
              <w:t>│ Metadatos corporativos (LEI, ISIN, NIF, grupo)</w:t>
            </w:r>
          </w:p>
          <w:p>
            <w:pPr>
              <w:spacing w:after="20" w:before="0" w:line="252" w:lineRule="auto"/>
            </w:pPr>
            <w:r>
              <w:rPr>
                <w:rFonts w:ascii="Consolas" w:hAnsi="Consolas"/>
                <w:color w:val="E2E8F0"/>
                <w:sz w:val="17"/>
              </w:rPr>
              <w:t>│ Expansión a Francia, Alemania, Italia, Países Bajos</w:t>
            </w:r>
          </w:p>
          <w:p>
            <w:pPr>
              <w:spacing w:after="20" w:before="0" w:line="252" w:lineRule="auto"/>
            </w:pPr>
            <w:r>
              <w:rPr>
                <w:rFonts w:ascii="Consolas" w:hAnsi="Consolas"/>
                <w:color w:val="E2E8F0"/>
                <w:sz w:val="17"/>
              </w:rPr>
              <w:t>│</w:t>
            </w:r>
          </w:p>
          <w:p>
            <w:pPr>
              <w:spacing w:after="20" w:before="0" w:line="252" w:lineRule="auto"/>
            </w:pPr>
            <w:r>
              <w:rPr>
                <w:rFonts w:ascii="Consolas" w:hAnsi="Consolas"/>
                <w:color w:val="E2E8F0"/>
                <w:sz w:val="17"/>
              </w:rPr>
              <w:t>FASE 3 (12-18 meses): Información de Mercado + Informes</w:t>
            </w:r>
          </w:p>
          <w:p>
            <w:pPr>
              <w:spacing w:after="20" w:before="0" w:line="252" w:lineRule="auto"/>
            </w:pPr>
            <w:r>
              <w:rPr>
                <w:rFonts w:ascii="Consolas" w:hAnsi="Consolas"/>
                <w:color w:val="E2E8F0"/>
                <w:sz w:val="17"/>
              </w:rPr>
              <w:t>│ Datos de precios y capitalización (integración vía API)</w:t>
            </w:r>
          </w:p>
          <w:p>
            <w:pPr>
              <w:spacing w:after="20" w:before="0" w:line="252" w:lineRule="auto"/>
            </w:pPr>
            <w:r>
              <w:rPr>
                <w:rFonts w:ascii="Consolas" w:hAnsi="Consolas"/>
                <w:color w:val="E2E8F0"/>
                <w:sz w:val="17"/>
              </w:rPr>
              <w:t>│ Informes sectoriales propios firmados por el autor</w:t>
            </w:r>
          </w:p>
          <w:p>
            <w:pPr>
              <w:spacing w:after="20" w:before="0" w:line="252" w:lineRule="auto"/>
            </w:pPr>
            <w:r>
              <w:rPr>
                <w:rFonts w:ascii="Consolas" w:hAnsi="Consolas"/>
                <w:color w:val="E2E8F0"/>
                <w:sz w:val="17"/>
              </w:rPr>
              <w:t>│ REX Emisor: acceso de empresas a su perfil</w:t>
            </w:r>
          </w:p>
          <w:p>
            <w:pPr>
              <w:spacing w:after="20" w:before="0" w:line="252" w:lineRule="auto"/>
            </w:pPr>
            <w:r>
              <w:rPr>
                <w:rFonts w:ascii="Consolas" w:hAnsi="Consolas"/>
                <w:color w:val="E2E8F0"/>
                <w:sz w:val="17"/>
              </w:rPr>
              <w:t>│</w:t>
            </w:r>
          </w:p>
          <w:p>
            <w:pPr>
              <w:spacing w:after="20" w:before="0" w:line="252" w:lineRule="auto"/>
            </w:pPr>
            <w:r>
              <w:rPr>
                <w:rFonts w:ascii="Consolas" w:hAnsi="Consolas"/>
                <w:color w:val="E2E8F0"/>
                <w:sz w:val="17"/>
              </w:rPr>
              <w:t>FASE APP (paralela desde mes 6):</w:t>
            </w:r>
          </w:p>
          <w:p>
            <w:pPr>
              <w:spacing w:after="20" w:before="0" w:line="252" w:lineRule="auto"/>
            </w:pPr>
            <w:r>
              <w:rPr>
                <w:rFonts w:ascii="Consolas" w:hAnsi="Consolas"/>
                <w:color w:val="E2E8F0"/>
                <w:sz w:val="17"/>
              </w:rPr>
              <w:t>App móvil/escritorio: backtester SFI, laboratorio de fundamentales,</w:t>
            </w:r>
          </w:p>
          <w:p>
            <w:pPr>
              <w:spacing w:after="20" w:before="0" w:line="252" w:lineRule="auto"/>
            </w:pPr>
            <w:r>
              <w:rPr>
                <w:rFonts w:ascii="Consolas" w:hAnsi="Consolas"/>
                <w:color w:val="E2E8F0"/>
                <w:sz w:val="17"/>
              </w:rPr>
              <w:t>cartera modelo, software educativo Luminic Finance</w:t>
            </w:r>
          </w:p>
        </w:tc>
      </w:tr>
    </w:tbl>
    <w:p>
      <w:pPr>
        <w:spacing w:after="80"/>
      </w:pPr>
    </w:p>
    <w:p>
      <w:pPr>
        <w:keepNext/>
        <w:spacing w:before="240" w:after="80"/>
      </w:pPr>
      <w:r>
        <w:rPr>
          <w:rFonts w:ascii="Segoe UI" w:hAnsi="Segoe UI"/>
          <w:b/>
          <w:color w:val="134074"/>
          <w:sz w:val="23"/>
        </w:rPr>
        <w:t>4.2. Panel de auditoría: KAM bajo ISA 701</w:t>
      </w:r>
    </w:p>
    <w:tbl>
      <w:tblPr>
        <w:tblW w:type="auto" w:w="0"/>
        <w:jc w:val="center"/>
        <w:tblLayout w:type="fixed"/>
        <w:tblLook w:firstColumn="1" w:firstRow="1" w:lastColumn="0" w:lastRow="0" w:noHBand="0" w:noVBand="1" w:val="04A0"/>
      </w:tblPr>
      <w:tblGrid>
        <w:gridCol w:w="9317"/>
      </w:tblGrid>
      <w:tr>
        <w:tc>
          <w:tcPr>
            <w:tcW w:type="dxa" w:w="9317"/>
            <w:shd w:fill="F0F4F8"/>
            <w:tcMar>
              <w:top w:w="120" w:type="dxa"/>
              <w:bottom w:w="120" w:type="dxa"/>
              <w:left w:w="180" w:type="dxa"/>
              <w:right w:w="160" w:type="dxa"/>
            </w:tcMar>
            <w:tcBorders>
              <w:top w:val="none" w:sz="24" w:space="0" w:color="134074"/>
              <w:left w:val="single" w:sz="24" w:space="0" w:color="134074"/>
              <w:bottom w:val="none" w:sz="24" w:space="0" w:color="134074"/>
              <w:right w:val="none" w:sz="24" w:space="0" w:color="134074"/>
            </w:tcBorders>
          </w:tcPr>
          <w:p>
            <w:pPr>
              <w:spacing w:after="0" w:before="0" w:line="276" w:lineRule="auto"/>
            </w:pPr>
            <w:r>
              <w:rPr>
                <w:rFonts w:ascii="Segoe UI" w:hAnsi="Segoe UI"/>
                <w:b/>
                <w:color w:val="0B2545"/>
                <w:sz w:val="19"/>
              </w:rPr>
              <w:t>IMPORTANTE</w:t>
              <w:br/>
            </w:r>
            <w:r>
              <w:rPr>
                <w:rFonts w:ascii="Segoe UI" w:hAnsi="Segoe UI"/>
                <w:color w:val="1F2937"/>
                <w:sz w:val="18"/>
              </w:rPr>
              <w:t>En el ámbito europeo e internacional, el término correcto es Key Audit Matter (KAM) bajo la ISA 701. El término Critical Audit Matter (CAM) corresponde a la norma PCAOB AS 3101 de Estados Unidos. En toda comunicación externa y documentación de la plataforma debe usarse KAM para el contexto europeo.</w:t>
            </w:r>
          </w:p>
        </w:tc>
      </w:tr>
    </w:tbl>
    <w:p>
      <w:pPr>
        <w:spacing w:before="0" w:after="80"/>
      </w:pPr>
    </w:p>
    <w:p>
      <w:pPr>
        <w:spacing w:after="80" w:before="0" w:line="276" w:lineRule="auto"/>
      </w:pPr>
      <w:r>
        <w:rPr>
          <w:rFonts w:ascii="Segoe UI" w:hAnsi="Segoe UI"/>
          <w:i w:val="0"/>
          <w:color w:val="1F2937"/>
          <w:sz w:val="19"/>
        </w:rPr>
        <w:t>Para cada empresa cubierta, el panel de KAM debe incluir:</w:t>
      </w:r>
    </w:p>
    <w:tbl>
      <w:tblPr>
        <w:tblW w:type="auto" w:w="0"/>
        <w:jc w:val="center"/>
        <w:tblLayout w:type="fixed"/>
        <w:tblLook w:firstColumn="1" w:firstRow="1" w:lastColumn="0" w:lastRow="0" w:noHBand="0" w:noVBand="1" w:val="04A0"/>
      </w:tblPr>
      <w:tblGrid>
        <w:gridCol w:w="3106"/>
        <w:gridCol w:w="3106"/>
        <w:gridCol w:w="3106"/>
      </w:tblGrid>
      <w:tr>
        <w:trPr>
          <w:tblHeader/>
          <w:cantSplit/>
        </w:trPr>
        <w:tc>
          <w:tcPr>
            <w:tcW w:type="dxa" w:w="2880"/>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Campo</w:t>
            </w:r>
          </w:p>
        </w:tc>
        <w:tc>
          <w:tcPr>
            <w:tcW w:type="dxa" w:w="4896"/>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Descripción</w:t>
            </w:r>
          </w:p>
        </w:tc>
        <w:tc>
          <w:tcPr>
            <w:tcW w:type="dxa" w:w="259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Fuente</w:t>
            </w:r>
          </w:p>
        </w:tc>
      </w:tr>
      <w:tr>
        <w:trPr>
          <w:cantSplit/>
        </w:trPr>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kam_year</w:t>
            </w:r>
          </w:p>
        </w:tc>
        <w:tc>
          <w:tcPr>
            <w:tcW w:type="dxa" w:w="489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Ejercicio al que corresponde</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Informe de auditoría</w:t>
            </w:r>
          </w:p>
        </w:tc>
      </w:tr>
      <w:tr>
        <w:trPr>
          <w:cantSplit/>
        </w:trPr>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kam_number</w:t>
            </w:r>
          </w:p>
        </w:tc>
        <w:tc>
          <w:tcPr>
            <w:tcW w:type="dxa" w:w="489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Número de KAM en el informe</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Informe de auditoría</w:t>
            </w:r>
          </w:p>
        </w:tc>
      </w:tr>
      <w:tr>
        <w:trPr>
          <w:cantSplit/>
        </w:trPr>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kam_area</w:t>
            </w:r>
          </w:p>
        </w:tc>
        <w:tc>
          <w:tcPr>
            <w:tcW w:type="dxa" w:w="489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Área contable: deterioro de fondo de comercio, reconocimiento de ingresos, etc.</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Extracción NLP</w:t>
            </w:r>
          </w:p>
        </w:tc>
      </w:tr>
      <w:tr>
        <w:trPr>
          <w:cantSplit/>
        </w:trPr>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kam_title</w:t>
            </w:r>
          </w:p>
        </w:tc>
        <w:tc>
          <w:tcPr>
            <w:tcW w:type="dxa" w:w="489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Título del KAM tal como aparece en el informe</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Texto raw</w:t>
            </w:r>
          </w:p>
        </w:tc>
      </w:tr>
      <w:tr>
        <w:trPr>
          <w:cantSplit/>
        </w:trPr>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kam_text_raw</w:t>
            </w:r>
          </w:p>
        </w:tc>
        <w:tc>
          <w:tcPr>
            <w:tcW w:type="dxa" w:w="489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Texto íntegro del KAM</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PDF/HTML</w:t>
            </w:r>
          </w:p>
        </w:tc>
      </w:tr>
      <w:tr>
        <w:trPr>
          <w:cantSplit/>
        </w:trPr>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kam_rationale</w:t>
            </w:r>
          </w:p>
        </w:tc>
        <w:tc>
          <w:tcPr>
            <w:tcW w:type="dxa" w:w="489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Por qué fue considerado KAM (texto extraído)</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NLP</w:t>
            </w:r>
          </w:p>
        </w:tc>
      </w:tr>
      <w:tr>
        <w:trPr>
          <w:cantSplit/>
        </w:trPr>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kam_auditor_response</w:t>
            </w:r>
          </w:p>
        </w:tc>
        <w:tc>
          <w:tcPr>
            <w:tcW w:type="dxa" w:w="489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Respuesta del auditor</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NLP</w:t>
            </w:r>
          </w:p>
        </w:tc>
      </w:tr>
      <w:tr>
        <w:trPr>
          <w:cantSplit/>
        </w:trPr>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kam_note_reference</w:t>
            </w:r>
          </w:p>
        </w:tc>
        <w:tc>
          <w:tcPr>
            <w:tcW w:type="dxa" w:w="489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Nota del informe referenciada</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Extracción</w:t>
            </w:r>
          </w:p>
        </w:tc>
      </w:tr>
      <w:tr>
        <w:trPr>
          <w:cantSplit/>
        </w:trPr>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kam_risk_type</w:t>
            </w:r>
          </w:p>
        </w:tc>
        <w:tc>
          <w:tcPr>
            <w:tcW w:type="dxa" w:w="489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Clasificación propia: valoración, fraude, continuidad, fiscal, etc.</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Motor propio</w:t>
            </w:r>
          </w:p>
        </w:tc>
      </w:tr>
      <w:tr>
        <w:trPr>
          <w:cantSplit/>
        </w:trPr>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auditor_name</w:t>
            </w:r>
          </w:p>
        </w:tc>
        <w:tc>
          <w:tcPr>
            <w:tcW w:type="dxa" w:w="489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Firma auditora</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Metadatos</w:t>
            </w:r>
          </w:p>
        </w:tc>
      </w:tr>
      <w:tr>
        <w:trPr>
          <w:cantSplit/>
        </w:trPr>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audit_opinion</w:t>
            </w:r>
          </w:p>
        </w:tc>
        <w:tc>
          <w:tcPr>
            <w:tcW w:type="dxa" w:w="489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Favorable, con salvedades, adversa, denegada</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Clasificación NLP</w:t>
            </w:r>
          </w:p>
        </w:tc>
      </w:tr>
      <w:tr>
        <w:trPr>
          <w:cantSplit/>
        </w:trPr>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going_concern_flag</w:t>
            </w:r>
          </w:p>
        </w:tc>
        <w:tc>
          <w:tcPr>
            <w:tcW w:type="dxa" w:w="489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Mención a empresa en funcionamiento</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Detección automática</w:t>
            </w:r>
          </w:p>
        </w:tc>
      </w:tr>
      <w:tr>
        <w:trPr>
          <w:cantSplit/>
        </w:trPr>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source_doc_hash</w:t>
            </w:r>
          </w:p>
        </w:tc>
        <w:tc>
          <w:tcPr>
            <w:tcW w:type="dxa" w:w="489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SHA-256 del informe de auditoría</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Sistema</w:t>
            </w:r>
          </w:p>
        </w:tc>
      </w:tr>
      <w:tr>
        <w:trPr>
          <w:cantSplit/>
        </w:trPr>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source_page</w:t>
            </w:r>
          </w:p>
        </w:tc>
        <w:tc>
          <w:tcPr>
            <w:tcW w:type="dxa" w:w="489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Página donde aparece el KAM</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Bounding box</w:t>
            </w:r>
          </w:p>
        </w:tc>
      </w:tr>
      <w:tr>
        <w:trPr>
          <w:cantSplit/>
        </w:trPr>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confidence_score</w:t>
            </w:r>
          </w:p>
        </w:tc>
        <w:tc>
          <w:tcPr>
            <w:tcW w:type="dxa" w:w="489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Nivel de confianza de la extracción</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Agente IA</w:t>
            </w:r>
          </w:p>
        </w:tc>
      </w:tr>
      <w:tr>
        <w:trPr>
          <w:cantSplit/>
        </w:trPr>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requires_review</w:t>
            </w:r>
          </w:p>
        </w:tc>
        <w:tc>
          <w:tcPr>
            <w:tcW w:type="dxa" w:w="489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Flag para revisión humana</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Sistema</w:t>
            </w:r>
          </w:p>
        </w:tc>
      </w:tr>
    </w:tbl>
    <w:p>
      <w:pPr>
        <w:spacing w:after="80"/>
      </w:pPr>
    </w:p>
    <w:p>
      <w:pPr>
        <w:keepNext/>
        <w:spacing w:before="240" w:after="80"/>
      </w:pPr>
      <w:r>
        <w:rPr>
          <w:rFonts w:ascii="Segoe UI" w:hAnsi="Segoe UI"/>
          <w:b/>
          <w:color w:val="134074"/>
          <w:sz w:val="23"/>
        </w:rPr>
        <w:t>4.3. Panel ESG / Sostenibilidad (ESRS E1–G1)</w:t>
      </w:r>
    </w:p>
    <w:p>
      <w:pPr>
        <w:spacing w:after="80" w:before="0" w:line="276" w:lineRule="auto"/>
      </w:pPr>
      <w:r>
        <w:rPr>
          <w:rFonts w:ascii="Segoe UI" w:hAnsi="Segoe UI"/>
          <w:i w:val="0"/>
          <w:color w:val="1F2937"/>
          <w:sz w:val="19"/>
        </w:rPr>
        <w:t>Para cada empresa y ejercicio, los datapoints primarios se organizan por estándar ESRS:</w:t>
      </w:r>
    </w:p>
    <w:tbl>
      <w:tblPr>
        <w:tblW w:type="auto" w:w="0"/>
        <w:jc w:val="center"/>
        <w:tblLayout w:type="fixed"/>
        <w:tblLook w:firstColumn="1" w:firstRow="1" w:lastColumn="0" w:lastRow="0" w:noHBand="0" w:noVBand="1" w:val="04A0"/>
      </w:tblPr>
      <w:tblGrid>
        <w:gridCol w:w="3106"/>
        <w:gridCol w:w="3106"/>
        <w:gridCol w:w="3106"/>
      </w:tblGrid>
      <w:tr>
        <w:trPr>
          <w:tblHeader/>
          <w:cantSplit/>
        </w:trPr>
        <w:tc>
          <w:tcPr>
            <w:tcW w:type="dxa" w:w="115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ESRS</w:t>
            </w:r>
          </w:p>
        </w:tc>
        <w:tc>
          <w:tcPr>
            <w:tcW w:type="dxa" w:w="3168"/>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Área</w:t>
            </w:r>
          </w:p>
        </w:tc>
        <w:tc>
          <w:tcPr>
            <w:tcW w:type="dxa" w:w="6048"/>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KPIs Clave</w:t>
            </w:r>
          </w:p>
        </w:tc>
      </w:tr>
      <w:tr>
        <w:trPr>
          <w:cantSplit/>
        </w:trPr>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E1</w:t>
            </w:r>
          </w:p>
        </w:tc>
        <w:tc>
          <w:tcPr>
            <w:tcW w:type="dxa" w:w="31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Cambio climático</w:t>
            </w:r>
          </w:p>
        </w:tc>
        <w:tc>
          <w:tcPr>
            <w:tcW w:type="dxa" w:w="604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Emisiones Scope 1, 2, 3 (tCO2e); intensidad de emisiones; objetivos de reducción; alineación con Paris</w:t>
            </w:r>
          </w:p>
        </w:tc>
      </w:tr>
      <w:tr>
        <w:trPr>
          <w:cantSplit/>
        </w:trPr>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E2</w:t>
            </w:r>
          </w:p>
        </w:tc>
        <w:tc>
          <w:tcPr>
            <w:tcW w:type="dxa" w:w="316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Contaminación</w:t>
            </w:r>
          </w:p>
        </w:tc>
        <w:tc>
          <w:tcPr>
            <w:tcW w:type="dxa" w:w="604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Sustancias preocupantes; contaminación de agua y suelo</w:t>
            </w:r>
          </w:p>
        </w:tc>
      </w:tr>
      <w:tr>
        <w:trPr>
          <w:cantSplit/>
        </w:trPr>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E3</w:t>
            </w:r>
          </w:p>
        </w:tc>
        <w:tc>
          <w:tcPr>
            <w:tcW w:type="dxa" w:w="31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Agua y recursos marinos</w:t>
            </w:r>
          </w:p>
        </w:tc>
        <w:tc>
          <w:tcPr>
            <w:tcW w:type="dxa" w:w="604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Consumo de agua; zonas de estrés hídrico</w:t>
            </w:r>
          </w:p>
        </w:tc>
      </w:tr>
      <w:tr>
        <w:trPr>
          <w:cantSplit/>
        </w:trPr>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E4</w:t>
            </w:r>
          </w:p>
        </w:tc>
        <w:tc>
          <w:tcPr>
            <w:tcW w:type="dxa" w:w="316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Biodiversidad</w:t>
            </w:r>
          </w:p>
        </w:tc>
        <w:tc>
          <w:tcPr>
            <w:tcW w:type="dxa" w:w="604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Exposición a áreas sensibles; impactos y dependencias</w:t>
            </w:r>
          </w:p>
        </w:tc>
      </w:tr>
      <w:tr>
        <w:trPr>
          <w:cantSplit/>
        </w:trPr>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E5</w:t>
            </w:r>
          </w:p>
        </w:tc>
        <w:tc>
          <w:tcPr>
            <w:tcW w:type="dxa" w:w="31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Uso de recursos y economía circular</w:t>
            </w:r>
          </w:p>
        </w:tc>
        <w:tc>
          <w:tcPr>
            <w:tcW w:type="dxa" w:w="604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Residuos; circularidad; consumo de materiales</w:t>
            </w:r>
          </w:p>
        </w:tc>
      </w:tr>
      <w:tr>
        <w:trPr>
          <w:cantSplit/>
        </w:trPr>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S1</w:t>
            </w:r>
          </w:p>
        </w:tc>
        <w:tc>
          <w:tcPr>
            <w:tcW w:type="dxa" w:w="316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Empleados propios</w:t>
            </w:r>
          </w:p>
        </w:tc>
        <w:tc>
          <w:tcPr>
            <w:tcW w:type="dxa" w:w="604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Plantilla; tipos de contrato; brecha salarial; rotación; accidentes; formación</w:t>
            </w:r>
          </w:p>
        </w:tc>
      </w:tr>
      <w:tr>
        <w:trPr>
          <w:cantSplit/>
        </w:trPr>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S2</w:t>
            </w:r>
          </w:p>
        </w:tc>
        <w:tc>
          <w:tcPr>
            <w:tcW w:type="dxa" w:w="31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Trabajadores cadena de valor</w:t>
            </w:r>
          </w:p>
        </w:tc>
        <w:tc>
          <w:tcPr>
            <w:tcW w:type="dxa" w:w="604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Evaluación de proveedores; incidencias derechos humanos</w:t>
            </w:r>
          </w:p>
        </w:tc>
      </w:tr>
      <w:tr>
        <w:trPr>
          <w:cantSplit/>
        </w:trPr>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S3</w:t>
            </w:r>
          </w:p>
        </w:tc>
        <w:tc>
          <w:tcPr>
            <w:tcW w:type="dxa" w:w="316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Comunidades afectadas</w:t>
            </w:r>
          </w:p>
        </w:tc>
        <w:tc>
          <w:tcPr>
            <w:tcW w:type="dxa" w:w="604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Impacto local; consultas; remediación</w:t>
            </w:r>
          </w:p>
        </w:tc>
      </w:tr>
      <w:tr>
        <w:trPr>
          <w:cantSplit/>
        </w:trPr>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S4</w:t>
            </w:r>
          </w:p>
        </w:tc>
        <w:tc>
          <w:tcPr>
            <w:tcW w:type="dxa" w:w="31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Consumidores</w:t>
            </w:r>
          </w:p>
        </w:tc>
        <w:tc>
          <w:tcPr>
            <w:tcW w:type="dxa" w:w="604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Incidencias; privacidad; accesibilidad</w:t>
            </w:r>
          </w:p>
        </w:tc>
      </w:tr>
      <w:tr>
        <w:trPr>
          <w:cantSplit/>
        </w:trPr>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G1</w:t>
            </w:r>
          </w:p>
        </w:tc>
        <w:tc>
          <w:tcPr>
            <w:tcW w:type="dxa" w:w="316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Conducta empresarial</w:t>
            </w:r>
          </w:p>
        </w:tc>
        <w:tc>
          <w:tcPr>
            <w:tcW w:type="dxa" w:w="604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Anticorrupción; cultura ética; gestión de proveedores; protección whistleblowers</w:t>
            </w:r>
          </w:p>
        </w:tc>
      </w:tr>
    </w:tbl>
    <w:p>
      <w:pPr>
        <w:spacing w:after="80"/>
      </w:pPr>
    </w:p>
    <w:p>
      <w:pPr>
        <w:spacing w:after="80" w:before="0" w:line="276" w:lineRule="auto"/>
      </w:pPr>
      <w:r>
        <w:rPr>
          <w:rFonts w:ascii="Segoe UI" w:hAnsi="Segoe UI"/>
          <w:i w:val="0"/>
          <w:color w:val="1F2937"/>
          <w:sz w:val="19"/>
        </w:rPr>
        <w:t>Clasificación de nivel de evidencia para cada KPI:</w:t>
      </w:r>
    </w:p>
    <w:tbl>
      <w:tblPr>
        <w:tblW w:type="auto" w:w="0"/>
        <w:jc w:val="center"/>
        <w:tblLayout w:type="fixed"/>
        <w:tblLook w:firstColumn="1" w:firstRow="1" w:lastColumn="0" w:lastRow="0" w:noHBand="0" w:noVBand="1" w:val="04A0"/>
      </w:tblPr>
      <w:tblGrid>
        <w:gridCol w:w="9317"/>
      </w:tblGrid>
      <w:tr>
        <w:tc>
          <w:tcPr>
            <w:tcW w:type="dxa" w:w="9317"/>
            <w:shd w:fill="0F172A"/>
            <w:tcMar>
              <w:top w:w="100" w:type="dxa"/>
              <w:bottom w:w="100" w:type="dxa"/>
              <w:left w:w="140" w:type="dxa"/>
              <w:right w:w="140" w:type="dxa"/>
            </w:tcMar>
            <w:tcBorders>
              <w:top w:val="single" w:sz="6" w:space="0" w:color="334155"/>
              <w:left w:val="single" w:sz="6" w:space="0" w:color="334155"/>
              <w:bottom w:val="single" w:sz="6" w:space="0" w:color="334155"/>
              <w:right w:val="single" w:sz="6" w:space="0" w:color="334155"/>
            </w:tcBorders>
          </w:tcPr>
          <w:p>
            <w:pPr>
              <w:spacing w:after="20" w:before="0" w:line="252" w:lineRule="auto"/>
            </w:pPr>
            <w:r>
              <w:rPr>
                <w:rFonts w:ascii="Consolas" w:hAnsi="Consolas"/>
                <w:color w:val="E2E8F0"/>
                <w:sz w:val="17"/>
              </w:rPr>
              <w:t>TIER_1: Dato ESEF etiquetado en iXBRL → máxima trazabilidad técnica</w:t>
            </w:r>
          </w:p>
          <w:p>
            <w:pPr>
              <w:spacing w:after="20" w:before="0" w:line="252" w:lineRule="auto"/>
            </w:pPr>
            <w:r>
              <w:rPr>
                <w:rFonts w:ascii="Consolas" w:hAnsi="Consolas"/>
                <w:color w:val="E2E8F0"/>
                <w:sz w:val="17"/>
              </w:rPr>
              <w:t>TIER_2: Dato de tabla en PDF con evidencia de página y bounding box → alta</w:t>
            </w:r>
          </w:p>
          <w:p>
            <w:pPr>
              <w:spacing w:after="20" w:before="0" w:line="252" w:lineRule="auto"/>
            </w:pPr>
            <w:r>
              <w:rPr>
                <w:rFonts w:ascii="Consolas" w:hAnsi="Consolas"/>
                <w:color w:val="E2E8F0"/>
                <w:sz w:val="17"/>
              </w:rPr>
              <w:t>TIER_3: Dato extraído de texto narrativo con NLP → media (requiere revisión)</w:t>
            </w:r>
          </w:p>
          <w:p>
            <w:pPr>
              <w:spacing w:after="20" w:before="0" w:line="252" w:lineRule="auto"/>
            </w:pPr>
            <w:r>
              <w:rPr>
                <w:rFonts w:ascii="Consolas" w:hAnsi="Consolas"/>
                <w:color w:val="E2E8F0"/>
                <w:sz w:val="17"/>
              </w:rPr>
              <w:t>TIER_4: Dato ausente en informe → registrado como "no divulgado" (null)</w:t>
            </w:r>
          </w:p>
          <w:p>
            <w:pPr>
              <w:spacing w:after="20" w:before="0" w:line="252" w:lineRule="auto"/>
            </w:pPr>
            <w:r>
              <w:rPr>
                <w:rFonts w:ascii="Consolas" w:hAnsi="Consolas"/>
                <w:color w:val="E2E8F0"/>
                <w:sz w:val="17"/>
              </w:rPr>
              <w:t>TIER_5: Dato contradicho internamente → flaggeado para revisión</w:t>
            </w:r>
          </w:p>
        </w:tc>
      </w:tr>
    </w:tbl>
    <w:p>
      <w:pPr>
        <w:spacing w:after="80"/>
      </w:pPr>
    </w:p>
    <w:tbl>
      <w:tblPr>
        <w:tblW w:type="auto" w:w="0"/>
        <w:jc w:val="center"/>
        <w:tblLayout w:type="fixed"/>
        <w:tblLook w:firstColumn="1" w:firstRow="1" w:lastColumn="0" w:lastRow="0" w:noHBand="0" w:noVBand="1" w:val="04A0"/>
      </w:tblPr>
      <w:tblGrid>
        <w:gridCol w:w="9317"/>
      </w:tblGrid>
      <w:tr>
        <w:tc>
          <w:tcPr>
            <w:tcW w:type="dxa" w:w="9317"/>
            <w:shd w:fill="F0F4F8"/>
            <w:tcMar>
              <w:top w:w="120" w:type="dxa"/>
              <w:bottom w:w="120" w:type="dxa"/>
              <w:left w:w="180" w:type="dxa"/>
              <w:right w:w="160" w:type="dxa"/>
            </w:tcMar>
            <w:tcBorders>
              <w:top w:val="none" w:sz="24" w:space="0" w:color="134074"/>
              <w:left w:val="single" w:sz="24" w:space="0" w:color="134074"/>
              <w:bottom w:val="none" w:sz="24" w:space="0" w:color="134074"/>
              <w:right w:val="none" w:sz="24" w:space="0" w:color="134074"/>
            </w:tcBorders>
          </w:tcPr>
          <w:p>
            <w:pPr>
              <w:spacing w:after="0" w:before="0" w:line="276" w:lineRule="auto"/>
            </w:pPr>
            <w:r>
              <w:rPr>
                <w:rFonts w:ascii="Segoe UI" w:hAnsi="Segoe UI"/>
                <w:b/>
                <w:color w:val="0B2545"/>
                <w:sz w:val="19"/>
              </w:rPr>
              <w:t>REGLA DE ORO</w:t>
              <w:br/>
            </w:r>
            <w:r>
              <w:rPr>
                <w:rFonts w:ascii="Segoe UI" w:hAnsi="Segoe UI"/>
                <w:color w:val="1F2937"/>
                <w:sz w:val="18"/>
              </w:rPr>
              <w:t>Nunca imputar un valor si no existe evidencia documental. El "no divulgado" es un dato en sí mismo: indica ausencia de transparencia y puede ser señal de análisis.</w:t>
            </w:r>
          </w:p>
        </w:tc>
      </w:tr>
    </w:tbl>
    <w:p>
      <w:pPr>
        <w:spacing w:before="0" w:after="80"/>
      </w:pPr>
    </w:p>
    <w:p>
      <w:pPr>
        <w:keepNext/>
        <w:spacing w:before="240" w:after="80"/>
      </w:pPr>
      <w:r>
        <w:rPr>
          <w:rFonts w:ascii="Segoe UI" w:hAnsi="Segoe UI"/>
          <w:b/>
          <w:color w:val="134074"/>
          <w:sz w:val="23"/>
        </w:rPr>
        <w:t>4.4. API REST: diseño básico de endpoints</w:t>
      </w:r>
    </w:p>
    <w:tbl>
      <w:tblPr>
        <w:tblW w:type="auto" w:w="0"/>
        <w:jc w:val="center"/>
        <w:tblLayout w:type="fixed"/>
        <w:tblLook w:firstColumn="1" w:firstRow="1" w:lastColumn="0" w:lastRow="0" w:noHBand="0" w:noVBand="1" w:val="04A0"/>
      </w:tblPr>
      <w:tblGrid>
        <w:gridCol w:w="9317"/>
      </w:tblGrid>
      <w:tr>
        <w:tc>
          <w:tcPr>
            <w:tcW w:type="dxa" w:w="9317"/>
            <w:shd w:fill="0F172A"/>
            <w:tcMar>
              <w:top w:w="100" w:type="dxa"/>
              <w:bottom w:w="100" w:type="dxa"/>
              <w:left w:w="140" w:type="dxa"/>
              <w:right w:w="140" w:type="dxa"/>
            </w:tcMar>
            <w:tcBorders>
              <w:top w:val="single" w:sz="6" w:space="0" w:color="334155"/>
              <w:left w:val="single" w:sz="6" w:space="0" w:color="334155"/>
              <w:bottom w:val="single" w:sz="6" w:space="0" w:color="334155"/>
              <w:right w:val="single" w:sz="6" w:space="0" w:color="334155"/>
            </w:tcBorders>
          </w:tcPr>
          <w:p>
            <w:pPr>
              <w:spacing w:after="20" w:before="0" w:line="252" w:lineRule="auto"/>
            </w:pPr>
            <w:r>
              <w:rPr>
                <w:rFonts w:ascii="Consolas" w:hAnsi="Consolas"/>
                <w:color w:val="E2E8F0"/>
                <w:sz w:val="17"/>
              </w:rPr>
              <w:t>/api/v1/</w:t>
            </w:r>
          </w:p>
          <w:p>
            <w:pPr>
              <w:spacing w:after="20" w:before="0" w:line="252" w:lineRule="auto"/>
            </w:pPr>
            <w:r>
              <w:rPr>
                <w:rFonts w:ascii="Consolas" w:hAnsi="Consolas"/>
                <w:color w:val="E2E8F0"/>
                <w:sz w:val="17"/>
              </w:rPr>
              <w:t xml:space="preserve">  companies/</w:t>
            </w:r>
          </w:p>
          <w:p>
            <w:pPr>
              <w:spacing w:after="20" w:before="0" w:line="252" w:lineRule="auto"/>
            </w:pPr>
            <w:r>
              <w:rPr>
                <w:rFonts w:ascii="Consolas" w:hAnsi="Consolas"/>
                <w:color w:val="E2E8F0"/>
                <w:sz w:val="17"/>
              </w:rPr>
              <w:t xml:space="preserve">    {identifier}/                     # Perfil completo (LEI, ISIN, NIF)</w:t>
            </w:r>
          </w:p>
          <w:p>
            <w:pPr>
              <w:spacing w:after="20" w:before="0" w:line="252" w:lineRule="auto"/>
            </w:pPr>
            <w:r>
              <w:rPr>
                <w:rFonts w:ascii="Consolas" w:hAnsi="Consolas"/>
                <w:color w:val="E2E8F0"/>
                <w:sz w:val="17"/>
              </w:rPr>
              <w:t xml:space="preserve">    {identifier}/financials/          # Panel financiero (año, periodo)</w:t>
            </w:r>
          </w:p>
          <w:p>
            <w:pPr>
              <w:spacing w:after="20" w:before="0" w:line="252" w:lineRule="auto"/>
            </w:pPr>
            <w:r>
              <w:rPr>
                <w:rFonts w:ascii="Consolas" w:hAnsi="Consolas"/>
                <w:color w:val="E2E8F0"/>
                <w:sz w:val="17"/>
              </w:rPr>
              <w:t xml:space="preserve">    {identifier}/kam/                 # Panel KAM por año</w:t>
            </w:r>
          </w:p>
          <w:p>
            <w:pPr>
              <w:spacing w:after="20" w:before="0" w:line="252" w:lineRule="auto"/>
            </w:pPr>
            <w:r>
              <w:rPr>
                <w:rFonts w:ascii="Consolas" w:hAnsi="Consolas"/>
                <w:color w:val="E2E8F0"/>
                <w:sz w:val="17"/>
              </w:rPr>
              <w:t xml:space="preserve">    {identifier}/esg/                 # Panel ESG por año y estándar</w:t>
            </w:r>
          </w:p>
          <w:p>
            <w:pPr>
              <w:spacing w:after="20" w:before="0" w:line="252" w:lineRule="auto"/>
            </w:pPr>
            <w:r>
              <w:rPr>
                <w:rFonts w:ascii="Consolas" w:hAnsi="Consolas"/>
                <w:color w:val="E2E8F0"/>
                <w:sz w:val="17"/>
              </w:rPr>
              <w:t xml:space="preserve">    {identifier}/scores/              # Scores propios (con metodología)</w:t>
            </w:r>
          </w:p>
          <w:p>
            <w:pPr>
              <w:spacing w:after="20" w:before="0" w:line="252" w:lineRule="auto"/>
            </w:pPr>
            <w:r>
              <w:rPr>
                <w:rFonts w:ascii="Consolas" w:hAnsi="Consolas"/>
                <w:color w:val="E2E8F0"/>
                <w:sz w:val="17"/>
              </w:rPr>
              <w:t xml:space="preserve">    {identifier}/peers/               # Comparables sectoriales</w:t>
            </w:r>
          </w:p>
          <w:p>
            <w:pPr>
              <w:spacing w:after="20" w:before="0" w:line="252" w:lineRule="auto"/>
            </w:pPr>
            <w:r>
              <w:rPr>
                <w:rFonts w:ascii="Consolas" w:hAnsi="Consolas"/>
                <w:color w:val="E2E8F0"/>
                <w:sz w:val="17"/>
              </w:rPr>
            </w:r>
          </w:p>
          <w:p>
            <w:pPr>
              <w:spacing w:after="20" w:before="0" w:line="252" w:lineRule="auto"/>
            </w:pPr>
            <w:r>
              <w:rPr>
                <w:rFonts w:ascii="Consolas" w:hAnsi="Consolas"/>
                <w:color w:val="E2E8F0"/>
                <w:sz w:val="17"/>
              </w:rPr>
              <w:t xml:space="preserve">  markets/</w:t>
            </w:r>
          </w:p>
          <w:p>
            <w:pPr>
              <w:spacing w:after="20" w:before="0" w:line="252" w:lineRule="auto"/>
            </w:pPr>
            <w:r>
              <w:rPr>
                <w:rFonts w:ascii="Consolas" w:hAnsi="Consolas"/>
                <w:color w:val="E2E8F0"/>
                <w:sz w:val="17"/>
              </w:rPr>
              <w:t xml:space="preserve">    {country}/companies/              # Listado por país</w:t>
            </w:r>
          </w:p>
          <w:p>
            <w:pPr>
              <w:spacing w:after="20" w:before="0" w:line="252" w:lineRule="auto"/>
            </w:pPr>
            <w:r>
              <w:rPr>
                <w:rFonts w:ascii="Consolas" w:hAnsi="Consolas"/>
                <w:color w:val="E2E8F0"/>
                <w:sz w:val="17"/>
              </w:rPr>
              <w:t xml:space="preserve">    {country}/filings/                # Últimos filings procesados</w:t>
            </w:r>
          </w:p>
          <w:p>
            <w:pPr>
              <w:spacing w:after="20" w:before="0" w:line="252" w:lineRule="auto"/>
            </w:pPr>
            <w:r>
              <w:rPr>
                <w:rFonts w:ascii="Consolas" w:hAnsi="Consolas"/>
                <w:color w:val="E2E8F0"/>
                <w:sz w:val="17"/>
              </w:rPr>
            </w:r>
          </w:p>
          <w:p>
            <w:pPr>
              <w:spacing w:after="20" w:before="0" w:line="252" w:lineRule="auto"/>
            </w:pPr>
            <w:r>
              <w:rPr>
                <w:rFonts w:ascii="Consolas" w:hAnsi="Consolas"/>
                <w:color w:val="E2E8F0"/>
                <w:sz w:val="17"/>
              </w:rPr>
              <w:t xml:space="preserve">  sectors/</w:t>
            </w:r>
          </w:p>
          <w:p>
            <w:pPr>
              <w:spacing w:after="20" w:before="0" w:line="252" w:lineRule="auto"/>
            </w:pPr>
            <w:r>
              <w:rPr>
                <w:rFonts w:ascii="Consolas" w:hAnsi="Consolas"/>
                <w:color w:val="E2E8F0"/>
                <w:sz w:val="17"/>
              </w:rPr>
              <w:t xml:space="preserve">    {sector}/ranking/                 # Rankings sectoriales</w:t>
            </w:r>
          </w:p>
          <w:p>
            <w:pPr>
              <w:spacing w:after="20" w:before="0" w:line="252" w:lineRule="auto"/>
            </w:pPr>
            <w:r>
              <w:rPr>
                <w:rFonts w:ascii="Consolas" w:hAnsi="Consolas"/>
                <w:color w:val="E2E8F0"/>
                <w:sz w:val="17"/>
              </w:rPr>
              <w:t xml:space="preserve">    {sector}/esg-summary/             # Resumen ESG del sector</w:t>
            </w:r>
          </w:p>
          <w:p>
            <w:pPr>
              <w:spacing w:after="20" w:before="0" w:line="252" w:lineRule="auto"/>
            </w:pPr>
            <w:r>
              <w:rPr>
                <w:rFonts w:ascii="Consolas" w:hAnsi="Consolas"/>
                <w:color w:val="E2E8F0"/>
                <w:sz w:val="17"/>
              </w:rPr>
            </w:r>
          </w:p>
          <w:p>
            <w:pPr>
              <w:spacing w:after="20" w:before="0" w:line="252" w:lineRule="auto"/>
            </w:pPr>
            <w:r>
              <w:rPr>
                <w:rFonts w:ascii="Consolas" w:hAnsi="Consolas"/>
                <w:color w:val="E2E8F0"/>
                <w:sz w:val="17"/>
              </w:rPr>
              <w:t xml:space="preserve">  webhooks/                           # Registro de webhooks para alertas</w:t>
            </w:r>
          </w:p>
          <w:p>
            <w:pPr>
              <w:spacing w:after="20" w:before="0" w:line="252" w:lineRule="auto"/>
            </w:pPr>
            <w:r>
              <w:rPr>
                <w:rFonts w:ascii="Consolas" w:hAnsi="Consolas"/>
                <w:color w:val="E2E8F0"/>
                <w:sz w:val="17"/>
              </w:rPr>
            </w:r>
          </w:p>
          <w:p>
            <w:pPr>
              <w:spacing w:after="20" w:before="0" w:line="252" w:lineRule="auto"/>
            </w:pPr>
            <w:r>
              <w:rPr>
                <w:rFonts w:ascii="Consolas" w:hAnsi="Consolas"/>
                <w:color w:val="E2E8F0"/>
                <w:sz w:val="17"/>
              </w:rPr>
              <w:t xml:space="preserve">  metadata/</w:t>
            </w:r>
          </w:p>
          <w:p>
            <w:pPr>
              <w:spacing w:after="20" w:before="0" w:line="252" w:lineRule="auto"/>
            </w:pPr>
            <w:r>
              <w:rPr>
                <w:rFonts w:ascii="Consolas" w:hAnsi="Consolas"/>
                <w:color w:val="E2E8F0"/>
                <w:sz w:val="17"/>
              </w:rPr>
              <w:t xml:space="preserve">    methodology/                      # Documentación de scores y ratios</w:t>
            </w:r>
          </w:p>
          <w:p>
            <w:pPr>
              <w:spacing w:after="20" w:before="0" w:line="252" w:lineRule="auto"/>
            </w:pPr>
            <w:r>
              <w:rPr>
                <w:rFonts w:ascii="Consolas" w:hAnsi="Consolas"/>
                <w:color w:val="E2E8F0"/>
                <w:sz w:val="17"/>
              </w:rPr>
              <w:t xml:space="preserve">    sources/                          # Fuentes utilizadas por país</w:t>
            </w:r>
          </w:p>
          <w:p>
            <w:pPr>
              <w:spacing w:after="20" w:before="0" w:line="252" w:lineRule="auto"/>
            </w:pPr>
            <w:r>
              <w:rPr>
                <w:rFonts w:ascii="Consolas" w:hAnsi="Consolas"/>
                <w:color w:val="E2E8F0"/>
                <w:sz w:val="17"/>
              </w:rPr>
              <w:t xml:space="preserve">    changelog/                        # Historial de cambios metodológicos</w:t>
            </w:r>
          </w:p>
        </w:tc>
      </w:tr>
    </w:tbl>
    <w:p>
      <w:pPr>
        <w:spacing w:after="80"/>
      </w:pPr>
    </w:p>
    <w:p>
      <w:pPr>
        <w:keepNext/>
        <w:spacing w:before="320" w:after="120"/>
      </w:pPr>
      <w:r>
        <w:rPr>
          <w:rFonts w:ascii="Segoe UI" w:hAnsi="Segoe UI"/>
          <w:b/>
          <w:color w:val="0B2545"/>
          <w:sz w:val="28"/>
        </w:rPr>
        <w:t>CAPÍTULO 5. METODOLOGÍA TÉCNICA Y ARQUITECTURA DEL SISTEMA</w:t>
      </w:r>
    </w:p>
    <w:p>
      <w:pPr>
        <w:keepNext/>
        <w:spacing w:before="240" w:after="80"/>
      </w:pPr>
      <w:r>
        <w:rPr>
          <w:rFonts w:ascii="Segoe UI" w:hAnsi="Segoe UI"/>
          <w:b/>
          <w:color w:val="134074"/>
          <w:sz w:val="23"/>
        </w:rPr>
        <w:t>5.1. Principio rector de arquitectura</w:t>
      </w:r>
    </w:p>
    <w:tbl>
      <w:tblPr>
        <w:tblW w:type="auto" w:w="0"/>
        <w:jc w:val="center"/>
        <w:tblLayout w:type="fixed"/>
        <w:tblLook w:firstColumn="1" w:firstRow="1" w:lastColumn="0" w:lastRow="0" w:noHBand="0" w:noVBand="1" w:val="04A0"/>
      </w:tblPr>
      <w:tblGrid>
        <w:gridCol w:w="9317"/>
      </w:tblGrid>
      <w:tr>
        <w:tc>
          <w:tcPr>
            <w:tcW w:type="dxa" w:w="9317"/>
            <w:shd w:fill="0F172A"/>
            <w:tcMar>
              <w:top w:w="100" w:type="dxa"/>
              <w:bottom w:w="100" w:type="dxa"/>
              <w:left w:w="140" w:type="dxa"/>
              <w:right w:w="140" w:type="dxa"/>
            </w:tcMar>
            <w:tcBorders>
              <w:top w:val="single" w:sz="6" w:space="0" w:color="334155"/>
              <w:left w:val="single" w:sz="6" w:space="0" w:color="334155"/>
              <w:bottom w:val="single" w:sz="6" w:space="0" w:color="334155"/>
              <w:right w:val="single" w:sz="6" w:space="0" w:color="334155"/>
            </w:tcBorders>
          </w:tcPr>
          <w:p>
            <w:pPr>
              <w:spacing w:after="20" w:before="0" w:line="252" w:lineRule="auto"/>
            </w:pPr>
            <w:r>
              <w:rPr>
                <w:rFonts w:ascii="Consolas" w:hAnsi="Consolas"/>
                <w:color w:val="E2E8F0"/>
                <w:sz w:val="17"/>
              </w:rPr>
              <w:t>CÓDIGO DETERMINISTA para:             AGENTES IA para:</w:t>
            </w:r>
          </w:p>
          <w:p>
            <w:pPr>
              <w:spacing w:after="20" w:before="0" w:line="252" w:lineRule="auto"/>
            </w:pPr>
            <w:r>
              <w:rPr>
                <w:rFonts w:ascii="Consolas" w:hAnsi="Consolas"/>
                <w:color w:val="E2E8F0"/>
                <w:sz w:val="17"/>
              </w:rPr>
              <w:t>- Descarga y hash                     - Clasificación de documentos</w:t>
            </w:r>
          </w:p>
          <w:p>
            <w:pPr>
              <w:spacing w:after="20" w:before="0" w:line="252" w:lineRule="auto"/>
            </w:pPr>
            <w:r>
              <w:rPr>
                <w:rFonts w:ascii="Consolas" w:hAnsi="Consolas"/>
                <w:color w:val="E2E8F0"/>
                <w:sz w:val="17"/>
              </w:rPr>
              <w:t>- Reintentos y rate limiting           - Extracción semántica (KAM, ESG)</w:t>
            </w:r>
          </w:p>
          <w:p>
            <w:pPr>
              <w:spacing w:after="20" w:before="0" w:line="252" w:lineRule="auto"/>
            </w:pPr>
            <w:r>
              <w:rPr>
                <w:rFonts w:ascii="Consolas" w:hAnsi="Consolas"/>
                <w:color w:val="E2E8F0"/>
                <w:sz w:val="17"/>
              </w:rPr>
              <w:t>- Almacenamiento bruto                - Mapeo de conceptos ambiguos</w:t>
            </w:r>
          </w:p>
          <w:p>
            <w:pPr>
              <w:spacing w:after="20" w:before="0" w:line="252" w:lineRule="auto"/>
            </w:pPr>
            <w:r>
              <w:rPr>
                <w:rFonts w:ascii="Consolas" w:hAnsi="Consolas"/>
                <w:color w:val="E2E8F0"/>
                <w:sz w:val="17"/>
              </w:rPr>
              <w:t>- Validación XBRL (Arelle)            - Traducción asistida</w:t>
            </w:r>
          </w:p>
          <w:p>
            <w:pPr>
              <w:spacing w:after="20" w:before="0" w:line="252" w:lineRule="auto"/>
            </w:pPr>
            <w:r>
              <w:rPr>
                <w:rFonts w:ascii="Consolas" w:hAnsi="Consolas"/>
                <w:color w:val="E2E8F0"/>
                <w:sz w:val="17"/>
              </w:rPr>
              <w:t>- Cálculo de ratios y scores          - Detección de anomalías</w:t>
            </w:r>
          </w:p>
          <w:p>
            <w:pPr>
              <w:spacing w:after="20" w:before="0" w:line="252" w:lineRule="auto"/>
            </w:pPr>
            <w:r>
              <w:rPr>
                <w:rFonts w:ascii="Consolas" w:hAnsi="Consolas"/>
                <w:color w:val="E2E8F0"/>
                <w:sz w:val="17"/>
              </w:rPr>
              <w:t>- Persistencia y versionado           - Propuesta de equivalencias</w:t>
            </w:r>
          </w:p>
          <w:p>
            <w:pPr>
              <w:spacing w:after="20" w:before="0" w:line="252" w:lineRule="auto"/>
            </w:pPr>
            <w:r>
              <w:rPr>
                <w:rFonts w:ascii="Consolas" w:hAnsi="Consolas"/>
                <w:color w:val="E2E8F0"/>
                <w:sz w:val="17"/>
              </w:rPr>
              <w:t>- Registro de auditoría               - Resúmenes explicativos</w:t>
            </w:r>
          </w:p>
          <w:p>
            <w:pPr>
              <w:spacing w:after="20" w:before="0" w:line="252" w:lineRule="auto"/>
            </w:pPr>
            <w:r>
              <w:rPr>
                <w:rFonts w:ascii="Consolas" w:hAnsi="Consolas"/>
                <w:color w:val="E2E8F0"/>
                <w:sz w:val="17"/>
              </w:rPr>
            </w:r>
          </w:p>
          <w:p>
            <w:pPr>
              <w:spacing w:after="20" w:before="0" w:line="252" w:lineRule="auto"/>
            </w:pPr>
            <w:r>
              <w:rPr>
                <w:rFonts w:ascii="Consolas" w:hAnsi="Consolas"/>
                <w:color w:val="E2E8F0"/>
                <w:sz w:val="17"/>
              </w:rPr>
              <w:t>Los agentes NO modifican la base de datos final directamente.</w:t>
            </w:r>
          </w:p>
          <w:p>
            <w:pPr>
              <w:spacing w:after="20" w:before="0" w:line="252" w:lineRule="auto"/>
            </w:pPr>
            <w:r>
              <w:rPr>
                <w:rFonts w:ascii="Consolas" w:hAnsi="Consolas"/>
                <w:color w:val="E2E8F0"/>
                <w:sz w:val="17"/>
              </w:rPr>
              <w:t>Devuelven resultados estructurados a una cola de validación humana.</w:t>
            </w:r>
          </w:p>
        </w:tc>
      </w:tr>
    </w:tbl>
    <w:p>
      <w:pPr>
        <w:spacing w:after="80"/>
      </w:pPr>
    </w:p>
    <w:p>
      <w:pPr>
        <w:spacing w:after="80" w:before="0" w:line="276" w:lineRule="auto"/>
      </w:pPr>
      <w:r>
        <w:rPr>
          <w:rFonts w:ascii="Segoe UI" w:hAnsi="Segoe UI"/>
          <w:i w:val="0"/>
          <w:color w:val="1F2937"/>
          <w:sz w:val="19"/>
        </w:rPr>
        <w:t>Por qué no conviene delegar todo el pipeline a agentes IA:</w:t>
      </w:r>
    </w:p>
    <w:p>
      <w:pPr>
        <w:pStyle w:val="ListBullet"/>
        <w:spacing w:after="60" w:before="0" w:line="276" w:lineRule="auto"/>
        <w:ind w:left="360"/>
      </w:pPr>
      <w:r>
        <w:rPr>
          <w:rFonts w:ascii="Segoe UI" w:hAnsi="Segoe UI"/>
          <w:b/>
          <w:color w:val="1F2937"/>
          <w:sz w:val="19"/>
        </w:rPr>
        <w:t xml:space="preserve">1. Reproducibilidad: </w:t>
      </w:r>
      <w:r>
        <w:rPr>
          <w:rFonts w:ascii="Segoe UI" w:hAnsi="Segoe UI"/>
          <w:color w:val="1F2937"/>
          <w:sz w:val="19"/>
        </w:rPr>
        <w:t>Un pipeline IA puro genera resultados que varían con la temperatura del modelo, actualizaciones de versión y contexto. Nuestros datos deben ser reproducibles: el mismo input debe generar el mismo output siempre.</w:t>
      </w:r>
    </w:p>
    <w:p>
      <w:pPr>
        <w:pStyle w:val="ListBullet"/>
        <w:spacing w:after="60" w:before="0" w:line="276" w:lineRule="auto"/>
        <w:ind w:left="360"/>
      </w:pPr>
      <w:r>
        <w:rPr>
          <w:rFonts w:ascii="Segoe UI" w:hAnsi="Segoe UI"/>
          <w:b/>
          <w:color w:val="1F2937"/>
          <w:sz w:val="19"/>
        </w:rPr>
        <w:t xml:space="preserve">2. Trazabilidad: </w:t>
      </w:r>
      <w:r>
        <w:rPr>
          <w:rFonts w:ascii="Segoe UI" w:hAnsi="Segoe UI"/>
          <w:color w:val="1F2937"/>
          <w:sz w:val="19"/>
        </w:rPr>
        <w:t>Los reguladores, académicos y clientes institucionales exigirán saber exactamente cómo se obtuvo cada cifra. Un agente IA que "interpreta" no ofrece esa garantía.</w:t>
      </w:r>
    </w:p>
    <w:p>
      <w:pPr>
        <w:pStyle w:val="ListBullet"/>
        <w:spacing w:after="60" w:before="0" w:line="276" w:lineRule="auto"/>
        <w:ind w:left="360"/>
      </w:pPr>
      <w:r>
        <w:rPr>
          <w:rFonts w:ascii="Segoe UI" w:hAnsi="Segoe UI"/>
          <w:b/>
          <w:color w:val="1F2937"/>
          <w:sz w:val="19"/>
        </w:rPr>
        <w:t xml:space="preserve">3. Responsabilidad: </w:t>
      </w:r>
      <w:r>
        <w:rPr>
          <w:rFonts w:ascii="Segoe UI" w:hAnsi="Segoe UI"/>
          <w:color w:val="1F2937"/>
          <w:sz w:val="19"/>
        </w:rPr>
        <w:t>Si un agente comete un error material en un dato financiero publicado, ¿quién responde? La pipeline determinista permite identificar exactamente el paso fallido.</w:t>
      </w:r>
    </w:p>
    <w:p>
      <w:pPr>
        <w:pStyle w:val="ListBullet"/>
        <w:spacing w:after="60" w:before="0" w:line="276" w:lineRule="auto"/>
        <w:ind w:left="360"/>
      </w:pPr>
      <w:r>
        <w:rPr>
          <w:rFonts w:ascii="Segoe UI" w:hAnsi="Segoe UI"/>
          <w:b/>
          <w:color w:val="1F2937"/>
          <w:sz w:val="19"/>
        </w:rPr>
        <w:t xml:space="preserve">4. Coste: </w:t>
      </w:r>
      <w:r>
        <w:rPr>
          <w:rFonts w:ascii="Segoe UI" w:hAnsi="Segoe UI"/>
          <w:color w:val="1F2937"/>
          <w:sz w:val="19"/>
        </w:rPr>
        <w:t>Los LLMs por API tienen coste variable. Procesar 3.000 empresas con 50.000 documentos usando solo LLM puede costar miles de euros en inferencias. Los LLMs locales (Ollama) mitigan esto pero añaden latencia y mantenimiento de hardware.</w:t>
      </w:r>
    </w:p>
    <w:p>
      <w:pPr>
        <w:keepNext/>
        <w:spacing w:before="240" w:after="80"/>
      </w:pPr>
      <w:r>
        <w:rPr>
          <w:rFonts w:ascii="Segoe UI" w:hAnsi="Segoe UI"/>
          <w:b/>
          <w:color w:val="134074"/>
          <w:sz w:val="23"/>
        </w:rPr>
        <w:t>5.2. Los cuatro módulos del sistema</w:t>
      </w:r>
    </w:p>
    <w:p>
      <w:pPr>
        <w:keepNext/>
        <w:spacing w:before="160" w:after="60"/>
      </w:pPr>
      <w:r>
        <w:rPr>
          <w:rFonts w:ascii="Segoe UI" w:hAnsi="Segoe UI"/>
          <w:b/>
          <w:color w:val="1F2937"/>
          <w:sz w:val="21"/>
        </w:rPr>
        <w:t>Módulo 1: Descarga e Ingesta</w:t>
      </w:r>
    </w:p>
    <w:tbl>
      <w:tblPr>
        <w:tblW w:type="auto" w:w="0"/>
        <w:jc w:val="center"/>
        <w:tblLayout w:type="fixed"/>
        <w:tblLook w:firstColumn="1" w:firstRow="1" w:lastColumn="0" w:lastRow="0" w:noHBand="0" w:noVBand="1" w:val="04A0"/>
      </w:tblPr>
      <w:tblGrid>
        <w:gridCol w:w="9317"/>
      </w:tblGrid>
      <w:tr>
        <w:tc>
          <w:tcPr>
            <w:tcW w:type="dxa" w:w="9317"/>
            <w:shd w:fill="0F172A"/>
            <w:tcMar>
              <w:top w:w="100" w:type="dxa"/>
              <w:bottom w:w="100" w:type="dxa"/>
              <w:left w:w="140" w:type="dxa"/>
              <w:right w:w="140" w:type="dxa"/>
            </w:tcMar>
            <w:tcBorders>
              <w:top w:val="single" w:sz="6" w:space="0" w:color="334155"/>
              <w:left w:val="single" w:sz="6" w:space="0" w:color="334155"/>
              <w:bottom w:val="single" w:sz="6" w:space="0" w:color="334155"/>
              <w:right w:val="single" w:sz="6" w:space="0" w:color="334155"/>
            </w:tcBorders>
          </w:tcPr>
          <w:p>
            <w:pPr>
              <w:spacing w:after="20" w:before="0" w:line="252" w:lineRule="auto"/>
            </w:pPr>
            <w:r>
              <w:rPr>
                <w:rFonts w:ascii="Consolas" w:hAnsi="Consolas"/>
                <w:color w:val="E2E8F0"/>
                <w:sz w:val="17"/>
              </w:rPr>
              <w:t># Responsabilidades del Módulo 1 (pseudocódigo de referencia)</w:t>
            </w:r>
          </w:p>
          <w:p>
            <w:pPr>
              <w:spacing w:after="20" w:before="0" w:line="252" w:lineRule="auto"/>
            </w:pPr>
            <w:r>
              <w:rPr>
                <w:rFonts w:ascii="Consolas" w:hAnsi="Consolas"/>
                <w:color w:val="E2E8F0"/>
                <w:sz w:val="17"/>
              </w:rPr>
              <w:t>class Ingester:</w:t>
            </w:r>
          </w:p>
          <w:p>
            <w:pPr>
              <w:spacing w:after="20" w:before="0" w:line="252" w:lineRule="auto"/>
            </w:pPr>
            <w:r>
              <w:rPr>
                <w:rFonts w:ascii="Consolas" w:hAnsi="Consolas"/>
                <w:color w:val="E2E8F0"/>
                <w:sz w:val="17"/>
              </w:rPr>
              <w:t xml:space="preserve">    """</w:t>
            </w:r>
          </w:p>
          <w:p>
            <w:pPr>
              <w:spacing w:after="20" w:before="0" w:line="252" w:lineRule="auto"/>
            </w:pPr>
            <w:r>
              <w:rPr>
                <w:rFonts w:ascii="Consolas" w:hAnsi="Consolas"/>
                <w:color w:val="E2E8F0"/>
                <w:sz w:val="17"/>
              </w:rPr>
              <w:t xml:space="preserve">    Cada OAM (CNMV, AMF, BaFin, CONSOB, AFM) tiene su propio conector.</w:t>
            </w:r>
          </w:p>
          <w:p>
            <w:pPr>
              <w:spacing w:after="20" w:before="0" w:line="252" w:lineRule="auto"/>
            </w:pPr>
            <w:r>
              <w:rPr>
                <w:rFonts w:ascii="Consolas" w:hAnsi="Consolas"/>
                <w:color w:val="E2E8F0"/>
                <w:sz w:val="17"/>
              </w:rPr>
              <w:t xml:space="preserve">    Todos los conectores heredan de BaseConnector.</w:t>
            </w:r>
          </w:p>
          <w:p>
            <w:pPr>
              <w:spacing w:after="20" w:before="0" w:line="252" w:lineRule="auto"/>
            </w:pPr>
            <w:r>
              <w:rPr>
                <w:rFonts w:ascii="Consolas" w:hAnsi="Consolas"/>
                <w:color w:val="E2E8F0"/>
                <w:sz w:val="17"/>
              </w:rPr>
              <w:t xml:space="preserve">    """</w:t>
            </w:r>
          </w:p>
          <w:p>
            <w:pPr>
              <w:spacing w:after="20" w:before="0" w:line="252" w:lineRule="auto"/>
            </w:pPr>
            <w:r>
              <w:rPr>
                <w:rFonts w:ascii="Consolas" w:hAnsi="Consolas"/>
                <w:color w:val="E2E8F0"/>
                <w:sz w:val="17"/>
              </w:rPr>
              <w:t xml:space="preserve">    def download(self, company_id: str, document_type: str, year: int) -&gt; Document:</w:t>
            </w:r>
          </w:p>
          <w:p>
            <w:pPr>
              <w:spacing w:after="20" w:before="0" w:line="252" w:lineRule="auto"/>
            </w:pPr>
            <w:r>
              <w:rPr>
                <w:rFonts w:ascii="Consolas" w:hAnsi="Consolas"/>
                <w:color w:val="E2E8F0"/>
                <w:sz w:val="17"/>
              </w:rPr>
              <w:t xml:space="preserve">        # 1. Verificar si ya existe en caché (hash comparison)</w:t>
            </w:r>
          </w:p>
          <w:p>
            <w:pPr>
              <w:spacing w:after="20" w:before="0" w:line="252" w:lineRule="auto"/>
            </w:pPr>
            <w:r>
              <w:rPr>
                <w:rFonts w:ascii="Consolas" w:hAnsi="Consolas"/>
                <w:color w:val="E2E8F0"/>
                <w:sz w:val="17"/>
              </w:rPr>
              <w:t xml:space="preserve">        # 2. Respetar rate limit del OAM</w:t>
            </w:r>
          </w:p>
          <w:p>
            <w:pPr>
              <w:spacing w:after="20" w:before="0" w:line="252" w:lineRule="auto"/>
            </w:pPr>
            <w:r>
              <w:rPr>
                <w:rFonts w:ascii="Consolas" w:hAnsi="Consolas"/>
                <w:color w:val="E2E8F0"/>
                <w:sz w:val="17"/>
              </w:rPr>
              <w:t xml:space="preserve">        # 3. Descargar con reintentos exponenciales</w:t>
            </w:r>
          </w:p>
          <w:p>
            <w:pPr>
              <w:spacing w:after="20" w:before="0" w:line="252" w:lineRule="auto"/>
            </w:pPr>
            <w:r>
              <w:rPr>
                <w:rFonts w:ascii="Consolas" w:hAnsi="Consolas"/>
                <w:color w:val="E2E8F0"/>
                <w:sz w:val="17"/>
              </w:rPr>
              <w:t xml:space="preserve">        # 4. Calcular SHA-256 del documento descargado</w:t>
            </w:r>
          </w:p>
          <w:p>
            <w:pPr>
              <w:spacing w:after="20" w:before="0" w:line="252" w:lineRule="auto"/>
            </w:pPr>
            <w:r>
              <w:rPr>
                <w:rFonts w:ascii="Consolas" w:hAnsi="Consolas"/>
                <w:color w:val="E2E8F0"/>
                <w:sz w:val="17"/>
              </w:rPr>
              <w:t xml:space="preserve">        # 5. Comparar hash con hash de descarga anterior (si existe)</w:t>
            </w:r>
          </w:p>
          <w:p>
            <w:pPr>
              <w:spacing w:after="20" w:before="0" w:line="252" w:lineRule="auto"/>
            </w:pPr>
            <w:r>
              <w:rPr>
                <w:rFonts w:ascii="Consolas" w:hAnsi="Consolas"/>
                <w:color w:val="E2E8F0"/>
                <w:sz w:val="17"/>
              </w:rPr>
              <w:t xml:space="preserve">        # 6. Almacenar en raw/ con metadatos completos</w:t>
            </w:r>
          </w:p>
          <w:p>
            <w:pPr>
              <w:spacing w:after="20" w:before="0" w:line="252" w:lineRule="auto"/>
            </w:pPr>
            <w:r>
              <w:rPr>
                <w:rFonts w:ascii="Consolas" w:hAnsi="Consolas"/>
                <w:color w:val="E2E8F0"/>
                <w:sz w:val="17"/>
              </w:rPr>
              <w:t xml:space="preserve">        # 7. Registrar en audit_trail/</w:t>
            </w:r>
          </w:p>
          <w:p>
            <w:pPr>
              <w:spacing w:after="20" w:before="0" w:line="252" w:lineRule="auto"/>
            </w:pPr>
            <w:r>
              <w:rPr>
                <w:rFonts w:ascii="Consolas" w:hAnsi="Consolas"/>
                <w:color w:val="E2E8F0"/>
                <w:sz w:val="17"/>
              </w:rPr>
              <w:t xml:space="preserve">        pass</w:t>
            </w:r>
          </w:p>
          <w:p>
            <w:pPr>
              <w:spacing w:after="20" w:before="0" w:line="252" w:lineRule="auto"/>
            </w:pPr>
            <w:r>
              <w:rPr>
                <w:rFonts w:ascii="Consolas" w:hAnsi="Consolas"/>
                <w:color w:val="E2E8F0"/>
                <w:sz w:val="17"/>
              </w:rPr>
            </w:r>
          </w:p>
          <w:p>
            <w:pPr>
              <w:spacing w:after="20" w:before="0" w:line="252" w:lineRule="auto"/>
            </w:pPr>
            <w:r>
              <w:rPr>
                <w:rFonts w:ascii="Consolas" w:hAnsi="Consolas"/>
                <w:color w:val="E2E8F0"/>
                <w:sz w:val="17"/>
              </w:rPr>
              <w:t xml:space="preserve">    def detect_changes(self, company_id: str) -&gt; list[str]:</w:t>
            </w:r>
          </w:p>
          <w:p>
            <w:pPr>
              <w:spacing w:after="20" w:before="0" w:line="252" w:lineRule="auto"/>
            </w:pPr>
            <w:r>
              <w:rPr>
                <w:rFonts w:ascii="Consolas" w:hAnsi="Consolas"/>
                <w:color w:val="E2E8F0"/>
                <w:sz w:val="17"/>
              </w:rPr>
              <w:t xml:space="preserve">        # Detectar si el OAM ha publicado nuevos documentos</w:t>
            </w:r>
          </w:p>
          <w:p>
            <w:pPr>
              <w:spacing w:after="20" w:before="0" w:line="252" w:lineRule="auto"/>
            </w:pPr>
            <w:r>
              <w:rPr>
                <w:rFonts w:ascii="Consolas" w:hAnsi="Consolas"/>
                <w:color w:val="E2E8F0"/>
                <w:sz w:val="17"/>
              </w:rPr>
              <w:t xml:space="preserve">        # Puede requerir polling (periodicidad configurable por OAM)</w:t>
            </w:r>
          </w:p>
          <w:p>
            <w:pPr>
              <w:spacing w:after="20" w:before="0" w:line="252" w:lineRule="auto"/>
            </w:pPr>
            <w:r>
              <w:rPr>
                <w:rFonts w:ascii="Consolas" w:hAnsi="Consolas"/>
                <w:color w:val="E2E8F0"/>
                <w:sz w:val="17"/>
              </w:rPr>
              <w:t xml:space="preserve">        pass</w:t>
            </w:r>
          </w:p>
          <w:p>
            <w:pPr>
              <w:spacing w:after="20" w:before="0" w:line="252" w:lineRule="auto"/>
            </w:pPr>
            <w:r>
              <w:rPr>
                <w:rFonts w:ascii="Consolas" w:hAnsi="Consolas"/>
                <w:color w:val="E2E8F0"/>
                <w:sz w:val="17"/>
              </w:rPr>
            </w:r>
          </w:p>
          <w:p>
            <w:pPr>
              <w:spacing w:after="20" w:before="0" w:line="252" w:lineRule="auto"/>
            </w:pPr>
            <w:r>
              <w:rPr>
                <w:rFonts w:ascii="Consolas" w:hAnsi="Consolas"/>
                <w:color w:val="E2E8F0"/>
                <w:sz w:val="17"/>
              </w:rPr>
              <w:t xml:space="preserve">    def validate_document(self, document: Document) -&gt; ValidationResult:</w:t>
            </w:r>
          </w:p>
          <w:p>
            <w:pPr>
              <w:spacing w:after="20" w:before="0" w:line="252" w:lineRule="auto"/>
            </w:pPr>
            <w:r>
              <w:rPr>
                <w:rFonts w:ascii="Consolas" w:hAnsi="Consolas"/>
                <w:color w:val="E2E8F0"/>
                <w:sz w:val="17"/>
              </w:rPr>
              <w:t xml:space="preserve">        # Verificar integridad (hash), formato, completitud mínima</w:t>
            </w:r>
          </w:p>
          <w:p>
            <w:pPr>
              <w:spacing w:after="20" w:before="0" w:line="252" w:lineRule="auto"/>
            </w:pPr>
            <w:r>
              <w:rPr>
                <w:rFonts w:ascii="Consolas" w:hAnsi="Consolas"/>
                <w:color w:val="E2E8F0"/>
                <w:sz w:val="17"/>
              </w:rPr>
              <w:t xml:space="preserve">        pass</w:t>
            </w:r>
          </w:p>
        </w:tc>
      </w:tr>
    </w:tbl>
    <w:p>
      <w:pPr>
        <w:spacing w:after="80"/>
      </w:pPr>
    </w:p>
    <w:p>
      <w:pPr>
        <w:keepNext/>
        <w:spacing w:before="160" w:after="60"/>
      </w:pPr>
      <w:r>
        <w:rPr>
          <w:rFonts w:ascii="Segoe UI" w:hAnsi="Segoe UI"/>
          <w:b/>
          <w:color w:val="1F2937"/>
          <w:sz w:val="21"/>
        </w:rPr>
        <w:t>Módulo 2: Procesamiento ESEF/XBRL</w:t>
      </w:r>
    </w:p>
    <w:p>
      <w:pPr>
        <w:spacing w:after="80" w:before="0" w:line="276" w:lineRule="auto"/>
      </w:pPr>
      <w:r>
        <w:rPr>
          <w:rFonts w:ascii="Segoe UI" w:hAnsi="Segoe UI"/>
          <w:i w:val="0"/>
          <w:color w:val="1F2937"/>
          <w:sz w:val="19"/>
        </w:rPr>
        <w:t>Herramienta principal: Arelle (open source, validación ESEF oficial ESMA)</w:t>
      </w:r>
    </w:p>
    <w:tbl>
      <w:tblPr>
        <w:tblW w:type="auto" w:w="0"/>
        <w:jc w:val="center"/>
        <w:tblLayout w:type="fixed"/>
        <w:tblLook w:firstColumn="1" w:firstRow="1" w:lastColumn="0" w:lastRow="0" w:noHBand="0" w:noVBand="1" w:val="04A0"/>
      </w:tblPr>
      <w:tblGrid>
        <w:gridCol w:w="9317"/>
      </w:tblGrid>
      <w:tr>
        <w:tc>
          <w:tcPr>
            <w:tcW w:type="dxa" w:w="9317"/>
            <w:shd w:fill="0F172A"/>
            <w:tcMar>
              <w:top w:w="100" w:type="dxa"/>
              <w:bottom w:w="100" w:type="dxa"/>
              <w:left w:w="140" w:type="dxa"/>
              <w:right w:w="140" w:type="dxa"/>
            </w:tcMar>
            <w:tcBorders>
              <w:top w:val="single" w:sz="6" w:space="0" w:color="334155"/>
              <w:left w:val="single" w:sz="6" w:space="0" w:color="334155"/>
              <w:bottom w:val="single" w:sz="6" w:space="0" w:color="334155"/>
              <w:right w:val="single" w:sz="6" w:space="0" w:color="334155"/>
            </w:tcBorders>
          </w:tcPr>
          <w:p>
            <w:pPr>
              <w:spacing w:after="20" w:before="0" w:line="252" w:lineRule="auto"/>
            </w:pPr>
            <w:r>
              <w:rPr>
                <w:rFonts w:ascii="Consolas" w:hAnsi="Consolas"/>
                <w:color w:val="E2E8F0"/>
                <w:sz w:val="17"/>
              </w:rPr>
              <w:t># Flujo del Módulo 2</w:t>
            </w:r>
          </w:p>
          <w:p>
            <w:pPr>
              <w:spacing w:after="20" w:before="0" w:line="252" w:lineRule="auto"/>
            </w:pPr>
            <w:r>
              <w:rPr>
                <w:rFonts w:ascii="Consolas" w:hAnsi="Consolas"/>
                <w:color w:val="E2E8F0"/>
                <w:sz w:val="17"/>
              </w:rPr>
              <w:t>def process_esef(xhtml_path: str) -&gt; FactsDataset:</w:t>
            </w:r>
          </w:p>
          <w:p>
            <w:pPr>
              <w:spacing w:after="20" w:before="0" w:line="252" w:lineRule="auto"/>
            </w:pPr>
            <w:r>
              <w:rPr>
                <w:rFonts w:ascii="Consolas" w:hAnsi="Consolas"/>
                <w:color w:val="E2E8F0"/>
                <w:sz w:val="17"/>
              </w:rPr>
              <w:t xml:space="preserve">    """</w:t>
            </w:r>
          </w:p>
          <w:p>
            <w:pPr>
              <w:spacing w:after="20" w:before="0" w:line="252" w:lineRule="auto"/>
            </w:pPr>
            <w:r>
              <w:rPr>
                <w:rFonts w:ascii="Consolas" w:hAnsi="Consolas"/>
                <w:color w:val="E2E8F0"/>
                <w:sz w:val="17"/>
              </w:rPr>
              <w:t xml:space="preserve">    1. Cargar el documento XHTML con Arelle</w:t>
            </w:r>
          </w:p>
          <w:p>
            <w:pPr>
              <w:spacing w:after="20" w:before="0" w:line="252" w:lineRule="auto"/>
            </w:pPr>
            <w:r>
              <w:rPr>
                <w:rFonts w:ascii="Consolas" w:hAnsi="Consolas"/>
                <w:color w:val="E2E8F0"/>
                <w:sz w:val="17"/>
              </w:rPr>
              <w:t xml:space="preserve">    2. Validar conformidad ESEF (errores y advertencias)</w:t>
            </w:r>
          </w:p>
          <w:p>
            <w:pPr>
              <w:spacing w:after="20" w:before="0" w:line="252" w:lineRule="auto"/>
            </w:pPr>
            <w:r>
              <w:rPr>
                <w:rFonts w:ascii="Consolas" w:hAnsi="Consolas"/>
                <w:color w:val="E2E8F0"/>
                <w:sz w:val="17"/>
              </w:rPr>
              <w:t xml:space="preserve">    3. Extraer todos los facts XBRL:</w:t>
            </w:r>
          </w:p>
          <w:p>
            <w:pPr>
              <w:spacing w:after="20" w:before="0" w:line="252" w:lineRule="auto"/>
            </w:pPr>
            <w:r>
              <w:rPr>
                <w:rFonts w:ascii="Consolas" w:hAnsi="Consolas"/>
                <w:color w:val="E2E8F0"/>
                <w:sz w:val="17"/>
              </w:rPr>
              <w:t xml:space="preserve">       - Elemento (concepto)</w:t>
            </w:r>
          </w:p>
          <w:p>
            <w:pPr>
              <w:spacing w:after="20" w:before="0" w:line="252" w:lineRule="auto"/>
            </w:pPr>
            <w:r>
              <w:rPr>
                <w:rFonts w:ascii="Consolas" w:hAnsi="Consolas"/>
                <w:color w:val="E2E8F0"/>
                <w:sz w:val="17"/>
              </w:rPr>
              <w:t xml:space="preserve">       - Valor</w:t>
            </w:r>
          </w:p>
          <w:p>
            <w:pPr>
              <w:spacing w:after="20" w:before="0" w:line="252" w:lineRule="auto"/>
            </w:pPr>
            <w:r>
              <w:rPr>
                <w:rFonts w:ascii="Consolas" w:hAnsi="Consolas"/>
                <w:color w:val="E2E8F0"/>
                <w:sz w:val="17"/>
              </w:rPr>
              <w:t xml:space="preserve">       - Contexto (periodo, entidad)</w:t>
            </w:r>
          </w:p>
          <w:p>
            <w:pPr>
              <w:spacing w:after="20" w:before="0" w:line="252" w:lineRule="auto"/>
            </w:pPr>
            <w:r>
              <w:rPr>
                <w:rFonts w:ascii="Consolas" w:hAnsi="Consolas"/>
                <w:color w:val="E2E8F0"/>
                <w:sz w:val="17"/>
              </w:rPr>
              <w:t xml:space="preserve">       - Unidad (EUR, USD, miles, etc.)</w:t>
            </w:r>
          </w:p>
          <w:p>
            <w:pPr>
              <w:spacing w:after="20" w:before="0" w:line="252" w:lineRule="auto"/>
            </w:pPr>
            <w:r>
              <w:rPr>
                <w:rFonts w:ascii="Consolas" w:hAnsi="Consolas"/>
                <w:color w:val="E2E8F0"/>
                <w:sz w:val="17"/>
              </w:rPr>
              <w:t xml:space="preserve">       - Dimensiones (segmento, etc.)</w:t>
            </w:r>
          </w:p>
          <w:p>
            <w:pPr>
              <w:spacing w:after="20" w:before="0" w:line="252" w:lineRule="auto"/>
            </w:pPr>
            <w:r>
              <w:rPr>
                <w:rFonts w:ascii="Consolas" w:hAnsi="Consolas"/>
                <w:color w:val="E2E8F0"/>
                <w:sz w:val="17"/>
              </w:rPr>
              <w:t xml:space="preserve">    4. Mapear elementos a nuestro esquema canónico</w:t>
            </w:r>
          </w:p>
          <w:p>
            <w:pPr>
              <w:spacing w:after="20" w:before="0" w:line="252" w:lineRule="auto"/>
            </w:pPr>
            <w:r>
              <w:rPr>
                <w:rFonts w:ascii="Consolas" w:hAnsi="Consolas"/>
                <w:color w:val="E2E8F0"/>
                <w:sz w:val="17"/>
              </w:rPr>
              <w:t xml:space="preserve">    5. Normalizar unidades y escalas</w:t>
            </w:r>
          </w:p>
          <w:p>
            <w:pPr>
              <w:spacing w:after="20" w:before="0" w:line="252" w:lineRule="auto"/>
            </w:pPr>
            <w:r>
              <w:rPr>
                <w:rFonts w:ascii="Consolas" w:hAnsi="Consolas"/>
                <w:color w:val="E2E8F0"/>
                <w:sz w:val="17"/>
              </w:rPr>
              <w:t xml:space="preserve">    6. Detectar extensiones huérfanas (sin anclaje a core)</w:t>
            </w:r>
          </w:p>
          <w:p>
            <w:pPr>
              <w:spacing w:after="20" w:before="0" w:line="252" w:lineRule="auto"/>
            </w:pPr>
            <w:r>
              <w:rPr>
                <w:rFonts w:ascii="Consolas" w:hAnsi="Consolas"/>
                <w:color w:val="E2E8F0"/>
                <w:sz w:val="17"/>
              </w:rPr>
              <w:t xml:space="preserve">    7. Exportar a xBRL-JSON o directamente a Parquet</w:t>
            </w:r>
          </w:p>
          <w:p>
            <w:pPr>
              <w:spacing w:after="20" w:before="0" w:line="252" w:lineRule="auto"/>
            </w:pPr>
            <w:r>
              <w:rPr>
                <w:rFonts w:ascii="Consolas" w:hAnsi="Consolas"/>
                <w:color w:val="E2E8F0"/>
                <w:sz w:val="17"/>
              </w:rPr>
              <w:t xml:space="preserve">    """</w:t>
            </w:r>
          </w:p>
          <w:p>
            <w:pPr>
              <w:spacing w:after="20" w:before="0" w:line="252" w:lineRule="auto"/>
            </w:pPr>
            <w:r>
              <w:rPr>
                <w:rFonts w:ascii="Consolas" w:hAnsi="Consolas"/>
                <w:color w:val="E2E8F0"/>
                <w:sz w:val="17"/>
              </w:rPr>
              <w:t xml:space="preserve">    pass</w:t>
            </w:r>
          </w:p>
        </w:tc>
      </w:tr>
    </w:tbl>
    <w:p>
      <w:pPr>
        <w:spacing w:after="80"/>
      </w:pPr>
    </w:p>
    <w:p>
      <w:pPr>
        <w:spacing w:after="80" w:before="0" w:line="276" w:lineRule="auto"/>
      </w:pPr>
      <w:r>
        <w:rPr>
          <w:rFonts w:ascii="Segoe UI" w:hAnsi="Segoe UI"/>
          <w:i w:val="0"/>
          <w:color w:val="1F2937"/>
          <w:sz w:val="19"/>
        </w:rPr>
        <w:t>Limitaciones importantes del ESEF que deben documentarse:</w:t>
      </w:r>
    </w:p>
    <w:p>
      <w:pPr>
        <w:pStyle w:val="ListBullet"/>
        <w:spacing w:after="60" w:before="0" w:line="276" w:lineRule="auto"/>
        <w:ind w:left="360"/>
      </w:pPr>
      <w:r>
        <w:rPr>
          <w:rFonts w:ascii="Segoe UI" w:hAnsi="Segoe UI"/>
          <w:color w:val="1F2937"/>
          <w:sz w:val="19"/>
        </w:rPr>
        <w:t>Las notas a pie de página usan block tagging (la nota entera como bloque, no elemento a elemento)</w:t>
      </w:r>
    </w:p>
    <w:p>
      <w:pPr>
        <w:pStyle w:val="ListBullet"/>
        <w:spacing w:after="60" w:before="0" w:line="276" w:lineRule="auto"/>
        <w:ind w:left="360"/>
      </w:pPr>
      <w:r>
        <w:rPr>
          <w:rFonts w:ascii="Segoe UI" w:hAnsi="Segoe UI"/>
          <w:color w:val="1F2937"/>
          <w:sz w:val="19"/>
        </w:rPr>
        <w:t>Las extensiones propias de cada empresa pueden no mapear a conceptos estándar</w:t>
      </w:r>
    </w:p>
    <w:p>
      <w:pPr>
        <w:pStyle w:val="ListBullet"/>
        <w:spacing w:after="60" w:before="0" w:line="276" w:lineRule="auto"/>
        <w:ind w:left="360"/>
      </w:pPr>
      <w:r>
        <w:rPr>
          <w:rFonts w:ascii="Segoe UI" w:hAnsi="Segoe UI"/>
          <w:color w:val="1F2937"/>
          <w:sz w:val="19"/>
        </w:rPr>
        <w:t>Errores de etiquetado del emisor son relativamente frecuentes, especialmente en Small Caps y primeros años de adopción</w:t>
      </w:r>
    </w:p>
    <w:p>
      <w:pPr>
        <w:pStyle w:val="ListBullet"/>
        <w:spacing w:after="60" w:before="0" w:line="276" w:lineRule="auto"/>
        <w:ind w:left="360"/>
      </w:pPr>
      <w:r>
        <w:rPr>
          <w:rFonts w:ascii="Segoe UI" w:hAnsi="Segoe UI"/>
          <w:color w:val="1F2937"/>
          <w:sz w:val="19"/>
        </w:rPr>
        <w:t>El validador Arelle puede devolver advertencias que no son errores fatales: deben clasificarse y documentarse</w:t>
      </w:r>
    </w:p>
    <w:p>
      <w:pPr>
        <w:keepNext/>
        <w:spacing w:before="160" w:after="60"/>
      </w:pPr>
      <w:r>
        <w:rPr>
          <w:rFonts w:ascii="Segoe UI" w:hAnsi="Segoe UI"/>
          <w:b/>
          <w:color w:val="1F2937"/>
          <w:sz w:val="21"/>
        </w:rPr>
        <w:t>Módulo 3: Documentos, KAM y ESG</w:t>
      </w:r>
    </w:p>
    <w:p>
      <w:pPr>
        <w:spacing w:after="80" w:before="0" w:line="276" w:lineRule="auto"/>
      </w:pPr>
      <w:r>
        <w:rPr>
          <w:rFonts w:ascii="Segoe UI" w:hAnsi="Segoe UI"/>
          <w:i w:val="0"/>
          <w:color w:val="1F2937"/>
          <w:sz w:val="19"/>
        </w:rPr>
        <w:t>Este es el módulo más complejo y el que más depende de la capa de IA.</w:t>
      </w:r>
    </w:p>
    <w:tbl>
      <w:tblPr>
        <w:tblW w:type="auto" w:w="0"/>
        <w:jc w:val="center"/>
        <w:tblLayout w:type="fixed"/>
        <w:tblLook w:firstColumn="1" w:firstRow="1" w:lastColumn="0" w:lastRow="0" w:noHBand="0" w:noVBand="1" w:val="04A0"/>
      </w:tblPr>
      <w:tblGrid>
        <w:gridCol w:w="9317"/>
      </w:tblGrid>
      <w:tr>
        <w:tc>
          <w:tcPr>
            <w:tcW w:type="dxa" w:w="9317"/>
            <w:shd w:fill="0F172A"/>
            <w:tcMar>
              <w:top w:w="100" w:type="dxa"/>
              <w:bottom w:w="100" w:type="dxa"/>
              <w:left w:w="140" w:type="dxa"/>
              <w:right w:w="140" w:type="dxa"/>
            </w:tcMar>
            <w:tcBorders>
              <w:top w:val="single" w:sz="6" w:space="0" w:color="334155"/>
              <w:left w:val="single" w:sz="6" w:space="0" w:color="334155"/>
              <w:bottom w:val="single" w:sz="6" w:space="0" w:color="334155"/>
              <w:right w:val="single" w:sz="6" w:space="0" w:color="334155"/>
            </w:tcBorders>
          </w:tcPr>
          <w:p>
            <w:pPr>
              <w:spacing w:after="20" w:before="0" w:line="252" w:lineRule="auto"/>
            </w:pPr>
            <w:r>
              <w:rPr>
                <w:rFonts w:ascii="Consolas" w:hAnsi="Consolas"/>
                <w:color w:val="E2E8F0"/>
                <w:sz w:val="17"/>
              </w:rPr>
              <w:t># Pipeline de extracción de KAM (ISA 701)</w:t>
            </w:r>
          </w:p>
          <w:p>
            <w:pPr>
              <w:spacing w:after="20" w:before="0" w:line="252" w:lineRule="auto"/>
            </w:pPr>
            <w:r>
              <w:rPr>
                <w:rFonts w:ascii="Consolas" w:hAnsi="Consolas"/>
                <w:color w:val="E2E8F0"/>
                <w:sz w:val="17"/>
              </w:rPr>
              <w:t>class KAMExtractor:</w:t>
            </w:r>
          </w:p>
          <w:p>
            <w:pPr>
              <w:spacing w:after="20" w:before="0" w:line="252" w:lineRule="auto"/>
            </w:pPr>
            <w:r>
              <w:rPr>
                <w:rFonts w:ascii="Consolas" w:hAnsi="Consolas"/>
                <w:color w:val="E2E8F0"/>
                <w:sz w:val="17"/>
              </w:rPr>
              <w:t xml:space="preserve">    def locate_audit_report_section(self, document: Document) -&gt; Section:</w:t>
            </w:r>
          </w:p>
          <w:p>
            <w:pPr>
              <w:spacing w:after="20" w:before="0" w:line="252" w:lineRule="auto"/>
            </w:pPr>
            <w:r>
              <w:rPr>
                <w:rFonts w:ascii="Consolas" w:hAnsi="Consolas"/>
                <w:color w:val="E2E8F0"/>
                <w:sz w:val="17"/>
              </w:rPr>
              <w:t xml:space="preserve">        # Agente IA Documental: localizar el informe de auditoría</w:t>
            </w:r>
          </w:p>
          <w:p>
            <w:pPr>
              <w:spacing w:after="20" w:before="0" w:line="252" w:lineRule="auto"/>
            </w:pPr>
            <w:r>
              <w:rPr>
                <w:rFonts w:ascii="Consolas" w:hAnsi="Consolas"/>
                <w:color w:val="E2E8F0"/>
                <w:sz w:val="17"/>
              </w:rPr>
              <w:t xml:space="preserve">        # dentro del informe anual (puede estar al inicio, al final o ser documento separado)</w:t>
            </w:r>
          </w:p>
          <w:p>
            <w:pPr>
              <w:spacing w:after="20" w:before="0" w:line="252" w:lineRule="auto"/>
            </w:pPr>
            <w:r>
              <w:rPr>
                <w:rFonts w:ascii="Consolas" w:hAnsi="Consolas"/>
                <w:color w:val="E2E8F0"/>
                <w:sz w:val="17"/>
              </w:rPr>
              <w:t xml:space="preserve">        pass</w:t>
            </w:r>
          </w:p>
          <w:p>
            <w:pPr>
              <w:spacing w:after="20" w:before="0" w:line="252" w:lineRule="auto"/>
            </w:pPr>
            <w:r>
              <w:rPr>
                <w:rFonts w:ascii="Consolas" w:hAnsi="Consolas"/>
                <w:color w:val="E2E8F0"/>
                <w:sz w:val="17"/>
              </w:rPr>
            </w:r>
          </w:p>
          <w:p>
            <w:pPr>
              <w:spacing w:after="20" w:before="0" w:line="252" w:lineRule="auto"/>
            </w:pPr>
            <w:r>
              <w:rPr>
                <w:rFonts w:ascii="Consolas" w:hAnsi="Consolas"/>
                <w:color w:val="E2E8F0"/>
                <w:sz w:val="17"/>
              </w:rPr>
              <w:t xml:space="preserve">    def identify_kam_blocks(self, section: Section) -&gt; list[KAMBlock]:</w:t>
            </w:r>
          </w:p>
          <w:p>
            <w:pPr>
              <w:spacing w:after="20" w:before="0" w:line="252" w:lineRule="auto"/>
            </w:pPr>
            <w:r>
              <w:rPr>
                <w:rFonts w:ascii="Consolas" w:hAnsi="Consolas"/>
                <w:color w:val="E2E8F0"/>
                <w:sz w:val="17"/>
              </w:rPr>
              <w:t xml:space="preserve">        # Buscar los bloques "Cuestión Clave de Auditoría" / "Key Audit Matter"</w:t>
            </w:r>
          </w:p>
          <w:p>
            <w:pPr>
              <w:spacing w:after="20" w:before="0" w:line="252" w:lineRule="auto"/>
            </w:pPr>
            <w:r>
              <w:rPr>
                <w:rFonts w:ascii="Consolas" w:hAnsi="Consolas"/>
                <w:color w:val="E2E8F0"/>
                <w:sz w:val="17"/>
              </w:rPr>
              <w:t xml:space="preserve">        # y variantes en cada idioma</w:t>
            </w:r>
          </w:p>
          <w:p>
            <w:pPr>
              <w:spacing w:after="20" w:before="0" w:line="252" w:lineRule="auto"/>
            </w:pPr>
            <w:r>
              <w:rPr>
                <w:rFonts w:ascii="Consolas" w:hAnsi="Consolas"/>
                <w:color w:val="E2E8F0"/>
                <w:sz w:val="17"/>
              </w:rPr>
              <w:t xml:space="preserve">        # Regex + embeddings para localización semántica</w:t>
            </w:r>
          </w:p>
          <w:p>
            <w:pPr>
              <w:spacing w:after="20" w:before="0" w:line="252" w:lineRule="auto"/>
            </w:pPr>
            <w:r>
              <w:rPr>
                <w:rFonts w:ascii="Consolas" w:hAnsi="Consolas"/>
                <w:color w:val="E2E8F0"/>
                <w:sz w:val="17"/>
              </w:rPr>
              <w:t xml:space="preserve">        pass</w:t>
            </w:r>
          </w:p>
          <w:p>
            <w:pPr>
              <w:spacing w:after="20" w:before="0" w:line="252" w:lineRule="auto"/>
            </w:pPr>
            <w:r>
              <w:rPr>
                <w:rFonts w:ascii="Consolas" w:hAnsi="Consolas"/>
                <w:color w:val="E2E8F0"/>
                <w:sz w:val="17"/>
              </w:rPr>
            </w:r>
          </w:p>
          <w:p>
            <w:pPr>
              <w:spacing w:after="20" w:before="0" w:line="252" w:lineRule="auto"/>
            </w:pPr>
            <w:r>
              <w:rPr>
                <w:rFonts w:ascii="Consolas" w:hAnsi="Consolas"/>
                <w:color w:val="E2E8F0"/>
                <w:sz w:val="17"/>
              </w:rPr>
              <w:t xml:space="preserve">    def extract_kam_structured(self, block: KAMBlock) -&gt; KAMRecord:</w:t>
            </w:r>
          </w:p>
          <w:p>
            <w:pPr>
              <w:spacing w:after="20" w:before="0" w:line="252" w:lineRule="auto"/>
            </w:pPr>
            <w:r>
              <w:rPr>
                <w:rFonts w:ascii="Consolas" w:hAnsi="Consolas"/>
                <w:color w:val="E2E8F0"/>
                <w:sz w:val="17"/>
              </w:rPr>
              <w:t xml:space="preserve">        # Agente IA Financiero-Contable:</w:t>
            </w:r>
          </w:p>
          <w:p>
            <w:pPr>
              <w:spacing w:after="20" w:before="0" w:line="252" w:lineRule="auto"/>
            </w:pPr>
            <w:r>
              <w:rPr>
                <w:rFonts w:ascii="Consolas" w:hAnsi="Consolas"/>
                <w:color w:val="E2E8F0"/>
                <w:sz w:val="17"/>
              </w:rPr>
              <w:t xml:space="preserve">        # - Extraer área contable (¿es deterioro? ¿reconocimiento de ingresos?)</w:t>
            </w:r>
          </w:p>
          <w:p>
            <w:pPr>
              <w:spacing w:after="20" w:before="0" w:line="252" w:lineRule="auto"/>
            </w:pPr>
            <w:r>
              <w:rPr>
                <w:rFonts w:ascii="Consolas" w:hAnsi="Consolas"/>
                <w:color w:val="E2E8F0"/>
                <w:sz w:val="17"/>
              </w:rPr>
              <w:t xml:space="preserve">        # - Extraer justificación del auditor</w:t>
            </w:r>
          </w:p>
          <w:p>
            <w:pPr>
              <w:spacing w:after="20" w:before="0" w:line="252" w:lineRule="auto"/>
            </w:pPr>
            <w:r>
              <w:rPr>
                <w:rFonts w:ascii="Consolas" w:hAnsi="Consolas"/>
                <w:color w:val="E2E8F0"/>
                <w:sz w:val="17"/>
              </w:rPr>
              <w:t xml:space="preserve">        # - Extraer respuesta (procedimientos aplicados)</w:t>
            </w:r>
          </w:p>
          <w:p>
            <w:pPr>
              <w:spacing w:after="20" w:before="0" w:line="252" w:lineRule="auto"/>
            </w:pPr>
            <w:r>
              <w:rPr>
                <w:rFonts w:ascii="Consolas" w:hAnsi="Consolas"/>
                <w:color w:val="E2E8F0"/>
                <w:sz w:val="17"/>
              </w:rPr>
              <w:t xml:space="preserve">        # - Clasificar tipo de riesgo</w:t>
            </w:r>
          </w:p>
          <w:p>
            <w:pPr>
              <w:spacing w:after="20" w:before="0" w:line="252" w:lineRule="auto"/>
            </w:pPr>
            <w:r>
              <w:rPr>
                <w:rFonts w:ascii="Consolas" w:hAnsi="Consolas"/>
                <w:color w:val="E2E8F0"/>
                <w:sz w:val="17"/>
              </w:rPr>
              <w:t xml:space="preserve">        # - Calcular confidence_score</w:t>
            </w:r>
          </w:p>
          <w:p>
            <w:pPr>
              <w:spacing w:after="20" w:before="0" w:line="252" w:lineRule="auto"/>
            </w:pPr>
            <w:r>
              <w:rPr>
                <w:rFonts w:ascii="Consolas" w:hAnsi="Consolas"/>
                <w:color w:val="E2E8F0"/>
                <w:sz w:val="17"/>
              </w:rPr>
              <w:t xml:space="preserve">        # - Asignar requires_review flag si confidence &lt; umbral</w:t>
            </w:r>
          </w:p>
          <w:p>
            <w:pPr>
              <w:spacing w:after="20" w:before="0" w:line="252" w:lineRule="auto"/>
            </w:pPr>
            <w:r>
              <w:rPr>
                <w:rFonts w:ascii="Consolas" w:hAnsi="Consolas"/>
                <w:color w:val="E2E8F0"/>
                <w:sz w:val="17"/>
              </w:rPr>
              <w:t xml:space="preserve">        pass</w:t>
            </w:r>
          </w:p>
          <w:p>
            <w:pPr>
              <w:spacing w:after="20" w:before="0" w:line="252" w:lineRule="auto"/>
            </w:pPr>
            <w:r>
              <w:rPr>
                <w:rFonts w:ascii="Consolas" w:hAnsi="Consolas"/>
                <w:color w:val="E2E8F0"/>
                <w:sz w:val="17"/>
              </w:rPr>
            </w:r>
          </w:p>
          <w:p>
            <w:pPr>
              <w:spacing w:after="20" w:before="0" w:line="252" w:lineRule="auto"/>
            </w:pPr>
            <w:r>
              <w:rPr>
                <w:rFonts w:ascii="Consolas" w:hAnsi="Consolas"/>
                <w:color w:val="E2E8F0"/>
                <w:sz w:val="17"/>
              </w:rPr>
              <w:t xml:space="preserve">    def anchor_evidence(self, block: KAMBlock) -&gt; Evidence:</w:t>
            </w:r>
          </w:p>
          <w:p>
            <w:pPr>
              <w:spacing w:after="20" w:before="0" w:line="252" w:lineRule="auto"/>
            </w:pPr>
            <w:r>
              <w:rPr>
                <w:rFonts w:ascii="Consolas" w:hAnsi="Consolas"/>
                <w:color w:val="E2E8F0"/>
                <w:sz w:val="17"/>
              </w:rPr>
              <w:t xml:space="preserve">        # Registrar: documento_id, hash, página, bounding_box, texto_raw</w:t>
            </w:r>
          </w:p>
          <w:p>
            <w:pPr>
              <w:spacing w:after="20" w:before="0" w:line="252" w:lineRule="auto"/>
            </w:pPr>
            <w:r>
              <w:rPr>
                <w:rFonts w:ascii="Consolas" w:hAnsi="Consolas"/>
                <w:color w:val="E2E8F0"/>
                <w:sz w:val="17"/>
              </w:rPr>
              <w:t xml:space="preserve">        pass</w:t>
            </w:r>
          </w:p>
        </w:tc>
      </w:tr>
    </w:tbl>
    <w:p>
      <w:pPr>
        <w:spacing w:after="80"/>
      </w:pPr>
    </w:p>
    <w:p>
      <w:pPr>
        <w:keepNext/>
        <w:spacing w:before="160" w:after="60"/>
      </w:pPr>
      <w:r>
        <w:rPr>
          <w:rFonts w:ascii="Segoe UI" w:hAnsi="Segoe UI"/>
          <w:b/>
          <w:color w:val="1F2937"/>
          <w:sz w:val="21"/>
        </w:rPr>
        <w:t>Módulo 4: Analytics y Distribución</w:t>
      </w:r>
    </w:p>
    <w:tbl>
      <w:tblPr>
        <w:tblW w:type="auto" w:w="0"/>
        <w:jc w:val="center"/>
        <w:tblLayout w:type="fixed"/>
        <w:tblLook w:firstColumn="1" w:firstRow="1" w:lastColumn="0" w:lastRow="0" w:noHBand="0" w:noVBand="1" w:val="04A0"/>
      </w:tblPr>
      <w:tblGrid>
        <w:gridCol w:w="9317"/>
      </w:tblGrid>
      <w:tr>
        <w:tc>
          <w:tcPr>
            <w:tcW w:type="dxa" w:w="9317"/>
            <w:shd w:fill="0F172A"/>
            <w:tcMar>
              <w:top w:w="100" w:type="dxa"/>
              <w:bottom w:w="100" w:type="dxa"/>
              <w:left w:w="140" w:type="dxa"/>
              <w:right w:w="140" w:type="dxa"/>
            </w:tcMar>
            <w:tcBorders>
              <w:top w:val="single" w:sz="6" w:space="0" w:color="334155"/>
              <w:left w:val="single" w:sz="6" w:space="0" w:color="334155"/>
              <w:bottom w:val="single" w:sz="6" w:space="0" w:color="334155"/>
              <w:right w:val="single" w:sz="6" w:space="0" w:color="334155"/>
            </w:tcBorders>
          </w:tcPr>
          <w:p>
            <w:pPr>
              <w:spacing w:after="20" w:before="0" w:line="252" w:lineRule="auto"/>
            </w:pPr>
            <w:r>
              <w:rPr>
                <w:rFonts w:ascii="Consolas" w:hAnsi="Consolas"/>
                <w:color w:val="E2E8F0"/>
                <w:sz w:val="17"/>
              </w:rPr>
              <w:t># Motor de ratios y scores</w:t>
            </w:r>
          </w:p>
          <w:p>
            <w:pPr>
              <w:spacing w:after="20" w:before="0" w:line="252" w:lineRule="auto"/>
            </w:pPr>
            <w:r>
              <w:rPr>
                <w:rFonts w:ascii="Consolas" w:hAnsi="Consolas"/>
                <w:color w:val="E2E8F0"/>
                <w:sz w:val="17"/>
              </w:rPr>
              <w:t>class AnalyticsEngine:</w:t>
            </w:r>
          </w:p>
          <w:p>
            <w:pPr>
              <w:spacing w:after="20" w:before="0" w:line="252" w:lineRule="auto"/>
            </w:pPr>
            <w:r>
              <w:rPr>
                <w:rFonts w:ascii="Consolas" w:hAnsi="Consolas"/>
                <w:color w:val="E2E8F0"/>
                <w:sz w:val="17"/>
              </w:rPr>
              <w:t xml:space="preserve">    RATIOS = {</w:t>
            </w:r>
          </w:p>
          <w:p>
            <w:pPr>
              <w:spacing w:after="20" w:before="0" w:line="252" w:lineRule="auto"/>
            </w:pPr>
            <w:r>
              <w:rPr>
                <w:rFonts w:ascii="Consolas" w:hAnsi="Consolas"/>
                <w:color w:val="E2E8F0"/>
                <w:sz w:val="17"/>
              </w:rPr>
              <w:t xml:space="preserve">        'pb_ratio': lambda b: b['market_cap'] / b['book_equity'],</w:t>
            </w:r>
          </w:p>
          <w:p>
            <w:pPr>
              <w:spacing w:after="20" w:before="0" w:line="252" w:lineRule="auto"/>
            </w:pPr>
            <w:r>
              <w:rPr>
                <w:rFonts w:ascii="Consolas" w:hAnsi="Consolas"/>
                <w:color w:val="E2E8F0"/>
                <w:sz w:val="17"/>
              </w:rPr>
              <w:t xml:space="preserve">        'roe': lambda b: b['net_income'] / b['avg_equity'],</w:t>
            </w:r>
          </w:p>
          <w:p>
            <w:pPr>
              <w:spacing w:after="20" w:before="0" w:line="252" w:lineRule="auto"/>
            </w:pPr>
            <w:r>
              <w:rPr>
                <w:rFonts w:ascii="Consolas" w:hAnsi="Consolas"/>
                <w:color w:val="E2E8F0"/>
                <w:sz w:val="17"/>
              </w:rPr>
              <w:t xml:space="preserve">        'debt_ebitda': lambda b: b['net_debt'] / b['ebitda'],</w:t>
            </w:r>
          </w:p>
          <w:p>
            <w:pPr>
              <w:spacing w:after="20" w:before="0" w:line="252" w:lineRule="auto"/>
            </w:pPr>
            <w:r>
              <w:rPr>
                <w:rFonts w:ascii="Consolas" w:hAnsi="Consolas"/>
                <w:color w:val="E2E8F0"/>
                <w:sz w:val="17"/>
              </w:rPr>
              <w:t xml:space="preserve">        'current_ratio': lambda b: b['current_assets'] / b['current_liabilities'],</w:t>
            </w:r>
          </w:p>
          <w:p>
            <w:pPr>
              <w:spacing w:after="20" w:before="0" w:line="252" w:lineRule="auto"/>
            </w:pPr>
            <w:r>
              <w:rPr>
                <w:rFonts w:ascii="Consolas" w:hAnsi="Consolas"/>
                <w:color w:val="E2E8F0"/>
                <w:sz w:val="17"/>
              </w:rPr>
              <w:t xml:space="preserve">        # ... etc.</w:t>
            </w:r>
          </w:p>
          <w:p>
            <w:pPr>
              <w:spacing w:after="20" w:before="0" w:line="252" w:lineRule="auto"/>
            </w:pPr>
            <w:r>
              <w:rPr>
                <w:rFonts w:ascii="Consolas" w:hAnsi="Consolas"/>
                <w:color w:val="E2E8F0"/>
                <w:sz w:val="17"/>
              </w:rPr>
              <w:t xml:space="preserve">    }</w:t>
            </w:r>
          </w:p>
          <w:p>
            <w:pPr>
              <w:spacing w:after="20" w:before="0" w:line="252" w:lineRule="auto"/>
            </w:pPr>
            <w:r>
              <w:rPr>
                <w:rFonts w:ascii="Consolas" w:hAnsi="Consolas"/>
                <w:color w:val="E2E8F0"/>
                <w:sz w:val="17"/>
              </w:rPr>
            </w:r>
          </w:p>
          <w:p>
            <w:pPr>
              <w:spacing w:after="20" w:before="0" w:line="252" w:lineRule="auto"/>
            </w:pPr>
            <w:r>
              <w:rPr>
                <w:rFonts w:ascii="Consolas" w:hAnsi="Consolas"/>
                <w:color w:val="E2E8F0"/>
                <w:sz w:val="17"/>
              </w:rPr>
              <w:t xml:space="preserve">    def compute_ratio(self, name: str, data: dict) -&gt; RatioResult:</w:t>
            </w:r>
          </w:p>
          <w:p>
            <w:pPr>
              <w:spacing w:after="20" w:before="0" w:line="252" w:lineRule="auto"/>
            </w:pPr>
            <w:r>
              <w:rPr>
                <w:rFonts w:ascii="Consolas" w:hAnsi="Consolas"/>
                <w:color w:val="E2E8F0"/>
                <w:sz w:val="17"/>
              </w:rPr>
              <w:t xml:space="preserve">        # Calcular con manejo de divisiones por cero, datos faltantes</w:t>
            </w:r>
          </w:p>
          <w:p>
            <w:pPr>
              <w:spacing w:after="20" w:before="0" w:line="252" w:lineRule="auto"/>
            </w:pPr>
            <w:r>
              <w:rPr>
                <w:rFonts w:ascii="Consolas" w:hAnsi="Consolas"/>
                <w:color w:val="E2E8F0"/>
                <w:sz w:val="17"/>
              </w:rPr>
              <w:t xml:space="preserve">        # Registrar las variables de entrada y su fuente</w:t>
            </w:r>
          </w:p>
          <w:p>
            <w:pPr>
              <w:spacing w:after="20" w:before="0" w:line="252" w:lineRule="auto"/>
            </w:pPr>
            <w:r>
              <w:rPr>
                <w:rFonts w:ascii="Consolas" w:hAnsi="Consolas"/>
                <w:color w:val="E2E8F0"/>
                <w:sz w:val="17"/>
              </w:rPr>
              <w:t xml:space="preserve">        # Marcar como TIER_4 (dato calculado, no dato observado)</w:t>
            </w:r>
          </w:p>
          <w:p>
            <w:pPr>
              <w:spacing w:after="20" w:before="0" w:line="252" w:lineRule="auto"/>
            </w:pPr>
            <w:r>
              <w:rPr>
                <w:rFonts w:ascii="Consolas" w:hAnsi="Consolas"/>
                <w:color w:val="E2E8F0"/>
                <w:sz w:val="17"/>
              </w:rPr>
              <w:t xml:space="preserve">        pass</w:t>
            </w:r>
          </w:p>
          <w:p>
            <w:pPr>
              <w:spacing w:after="20" w:before="0" w:line="252" w:lineRule="auto"/>
            </w:pPr>
            <w:r>
              <w:rPr>
                <w:rFonts w:ascii="Consolas" w:hAnsi="Consolas"/>
                <w:color w:val="E2E8F0"/>
                <w:sz w:val="17"/>
              </w:rPr>
            </w:r>
          </w:p>
          <w:p>
            <w:pPr>
              <w:spacing w:after="20" w:before="0" w:line="252" w:lineRule="auto"/>
            </w:pPr>
            <w:r>
              <w:rPr>
                <w:rFonts w:ascii="Consolas" w:hAnsi="Consolas"/>
                <w:color w:val="E2E8F0"/>
                <w:sz w:val="17"/>
              </w:rPr>
              <w:t xml:space="preserve">    def compute_esg_score(self, esg_data: ESGDataset) -&gt; ESGScore:</w:t>
            </w:r>
          </w:p>
          <w:p>
            <w:pPr>
              <w:spacing w:after="20" w:before="0" w:line="252" w:lineRule="auto"/>
            </w:pPr>
            <w:r>
              <w:rPr>
                <w:rFonts w:ascii="Consolas" w:hAnsi="Consolas"/>
                <w:color w:val="E2E8F0"/>
                <w:sz w:val="17"/>
              </w:rPr>
              <w:t xml:space="preserve">        # Descompuesto: E_score, S_score, G_score + total</w:t>
            </w:r>
          </w:p>
          <w:p>
            <w:pPr>
              <w:spacing w:after="20" w:before="0" w:line="252" w:lineRule="auto"/>
            </w:pPr>
            <w:r>
              <w:rPr>
                <w:rFonts w:ascii="Consolas" w:hAnsi="Consolas"/>
                <w:color w:val="E2E8F0"/>
                <w:sz w:val="17"/>
              </w:rPr>
              <w:t xml:space="preserve">        # Cada componente con los KPIs que lo forman y sus pesos</w:t>
            </w:r>
          </w:p>
          <w:p>
            <w:pPr>
              <w:spacing w:after="20" w:before="0" w:line="252" w:lineRule="auto"/>
            </w:pPr>
            <w:r>
              <w:rPr>
                <w:rFonts w:ascii="Consolas" w:hAnsi="Consolas"/>
                <w:color w:val="E2E8F0"/>
                <w:sz w:val="17"/>
              </w:rPr>
              <w:t xml:space="preserve">        # Metodología publicada en /api/v1/metadata/methodology/</w:t>
            </w:r>
          </w:p>
          <w:p>
            <w:pPr>
              <w:spacing w:after="20" w:before="0" w:line="252" w:lineRule="auto"/>
            </w:pPr>
            <w:r>
              <w:rPr>
                <w:rFonts w:ascii="Consolas" w:hAnsi="Consolas"/>
                <w:color w:val="E2E8F0"/>
                <w:sz w:val="17"/>
              </w:rPr>
              <w:t xml:space="preserve">        pass</w:t>
            </w:r>
          </w:p>
        </w:tc>
      </w:tr>
    </w:tbl>
    <w:p>
      <w:pPr>
        <w:spacing w:after="80"/>
      </w:pPr>
    </w:p>
    <w:p>
      <w:pPr>
        <w:keepNext/>
        <w:spacing w:before="240" w:after="80"/>
      </w:pPr>
      <w:r>
        <w:rPr>
          <w:rFonts w:ascii="Segoe UI" w:hAnsi="Segoe UI"/>
          <w:b/>
          <w:color w:val="134074"/>
          <w:sz w:val="23"/>
        </w:rPr>
        <w:t>5.3. Los tres agentes locales de IA</w:t>
      </w:r>
    </w:p>
    <w:p>
      <w:pPr>
        <w:keepNext/>
        <w:spacing w:before="160" w:after="60"/>
      </w:pPr>
      <w:r>
        <w:rPr>
          <w:rFonts w:ascii="Segoe UI" w:hAnsi="Segoe UI"/>
          <w:b/>
          <w:color w:val="1F2937"/>
          <w:sz w:val="21"/>
        </w:rPr>
        <w:t>Agente 1: Documental</w:t>
      </w:r>
    </w:p>
    <w:p>
      <w:pPr>
        <w:spacing w:after="80" w:before="0" w:line="276" w:lineRule="auto"/>
      </w:pPr>
      <w:r>
        <w:rPr>
          <w:rFonts w:ascii="Segoe UI" w:hAnsi="Segoe UI"/>
          <w:i w:val="0"/>
          <w:color w:val="1F2937"/>
          <w:sz w:val="19"/>
        </w:rPr>
        <w:t>Función: Clasificar y localizar. No extrae valores.</w:t>
      </w:r>
    </w:p>
    <w:p>
      <w:pPr>
        <w:pStyle w:val="ListBullet"/>
        <w:spacing w:after="60" w:before="0" w:line="276" w:lineRule="auto"/>
        <w:ind w:left="360"/>
      </w:pPr>
      <w:r>
        <w:rPr>
          <w:rFonts w:ascii="Segoe UI" w:hAnsi="Segoe UI"/>
          <w:b/>
          <w:color w:val="1F2937"/>
          <w:sz w:val="19"/>
        </w:rPr>
        <w:t xml:space="preserve">Entrada: </w:t>
      </w:r>
      <w:r>
        <w:rPr>
          <w:rFonts w:ascii="Segoe UI" w:hAnsi="Segoe UI"/>
          <w:color w:val="1F2937"/>
          <w:sz w:val="19"/>
        </w:rPr>
        <w:t>documento crudo (PDF, XHTML)</w:t>
      </w:r>
    </w:p>
    <w:p>
      <w:pPr>
        <w:pStyle w:val="ListBullet"/>
        <w:spacing w:after="60" w:before="0" w:line="276" w:lineRule="auto"/>
        <w:ind w:left="360"/>
      </w:pPr>
      <w:r>
        <w:rPr>
          <w:rFonts w:ascii="Segoe UI" w:hAnsi="Segoe UI"/>
          <w:b/>
          <w:color w:val="1F2937"/>
          <w:sz w:val="19"/>
        </w:rPr>
        <w:t xml:space="preserve">Salida: </w:t>
      </w:r>
      <w:r>
        <w:rPr>
          <w:rFonts w:ascii="Segoe UI" w:hAnsi="Segoe UI"/>
          <w:color w:val="1F2937"/>
          <w:sz w:val="19"/>
        </w:rPr>
        <w:t>{document_type, sections_map, tables_map, language, confidence}</w:t>
      </w:r>
    </w:p>
    <w:p>
      <w:pPr>
        <w:pStyle w:val="ListBullet"/>
        <w:spacing w:after="60" w:before="0" w:line="276" w:lineRule="auto"/>
        <w:ind w:left="360"/>
      </w:pPr>
      <w:r>
        <w:rPr>
          <w:rFonts w:ascii="Segoe UI" w:hAnsi="Segoe UI"/>
          <w:b/>
          <w:color w:val="1F2937"/>
          <w:sz w:val="19"/>
        </w:rPr>
        <w:t xml:space="preserve">Herramienta: </w:t>
      </w:r>
      <w:r>
        <w:rPr>
          <w:rFonts w:ascii="Segoe UI" w:hAnsi="Segoe UI"/>
          <w:color w:val="1F2937"/>
          <w:sz w:val="19"/>
        </w:rPr>
        <w:t>modelo de embeddings local (e.g., mxbai-embed-large vía Ollama) + reglas de proximidad</w:t>
      </w:r>
    </w:p>
    <w:p>
      <w:pPr>
        <w:keepNext/>
        <w:spacing w:before="160" w:after="60"/>
      </w:pPr>
      <w:r>
        <w:rPr>
          <w:rFonts w:ascii="Segoe UI" w:hAnsi="Segoe UI"/>
          <w:b/>
          <w:color w:val="1F2937"/>
          <w:sz w:val="21"/>
        </w:rPr>
        <w:t>Agente 2: Financiero-Contable</w:t>
      </w:r>
    </w:p>
    <w:p>
      <w:pPr>
        <w:spacing w:after="80" w:before="0" w:line="276" w:lineRule="auto"/>
      </w:pPr>
      <w:r>
        <w:rPr>
          <w:rFonts w:ascii="Segoe UI" w:hAnsi="Segoe UI"/>
          <w:i w:val="0"/>
          <w:color w:val="1F2937"/>
          <w:sz w:val="19"/>
        </w:rPr>
        <w:t>Función: Mapear conceptos y detectar anomalías.</w:t>
      </w:r>
    </w:p>
    <w:p>
      <w:pPr>
        <w:pStyle w:val="ListBullet"/>
        <w:spacing w:after="60" w:before="0" w:line="276" w:lineRule="auto"/>
        <w:ind w:left="360"/>
      </w:pPr>
      <w:r>
        <w:rPr>
          <w:rFonts w:ascii="Segoe UI" w:hAnsi="Segoe UI"/>
          <w:b/>
          <w:color w:val="1F2937"/>
          <w:sz w:val="19"/>
        </w:rPr>
        <w:t xml:space="preserve">Entrada: </w:t>
      </w:r>
      <w:r>
        <w:rPr>
          <w:rFonts w:ascii="Segoe UI" w:hAnsi="Segoe UI"/>
          <w:color w:val="1F2937"/>
          <w:sz w:val="19"/>
        </w:rPr>
        <w:t>hecho XBRL + contexto contable</w:t>
      </w:r>
    </w:p>
    <w:p>
      <w:pPr>
        <w:pStyle w:val="ListBullet"/>
        <w:spacing w:after="60" w:before="0" w:line="276" w:lineRule="auto"/>
        <w:ind w:left="360"/>
      </w:pPr>
      <w:r>
        <w:rPr>
          <w:rFonts w:ascii="Segoe UI" w:hAnsi="Segoe UI"/>
          <w:b/>
          <w:color w:val="1F2937"/>
          <w:sz w:val="19"/>
        </w:rPr>
        <w:t xml:space="preserve">Salida: </w:t>
      </w:r>
      <w:r>
        <w:rPr>
          <w:rFonts w:ascii="Segoe UI" w:hAnsi="Segoe UI"/>
          <w:color w:val="1F2937"/>
          <w:sz w:val="19"/>
        </w:rPr>
        <w:t>{canonical_concept, mapping_confidence, anomaly_flag, reasoning}</w:t>
      </w:r>
    </w:p>
    <w:p>
      <w:pPr>
        <w:pStyle w:val="ListBullet"/>
        <w:spacing w:after="60" w:before="0" w:line="276" w:lineRule="auto"/>
        <w:ind w:left="360"/>
      </w:pPr>
      <w:r>
        <w:rPr>
          <w:rFonts w:ascii="Segoe UI" w:hAnsi="Segoe UI"/>
          <w:b/>
          <w:color w:val="1F2937"/>
          <w:sz w:val="19"/>
        </w:rPr>
        <w:t xml:space="preserve">Herramienta: </w:t>
      </w:r>
      <w:r>
        <w:rPr>
          <w:rFonts w:ascii="Segoe UI" w:hAnsi="Segoe UI"/>
          <w:color w:val="1F2937"/>
          <w:sz w:val="19"/>
        </w:rPr>
        <w:t>LLM local con instrucciones de contabilidad NIIF/PGC (e.g., Llama 3 8B o Mistral 7B via Ollama)</w:t>
      </w:r>
    </w:p>
    <w:p>
      <w:pPr>
        <w:keepNext/>
        <w:spacing w:before="160" w:after="60"/>
      </w:pPr>
      <w:r>
        <w:rPr>
          <w:rFonts w:ascii="Segoe UI" w:hAnsi="Segoe UI"/>
          <w:b/>
          <w:color w:val="1F2937"/>
          <w:sz w:val="21"/>
        </w:rPr>
        <w:t>Agente 3: ESG y Auditoría</w:t>
      </w:r>
    </w:p>
    <w:p>
      <w:pPr>
        <w:spacing w:after="80" w:before="0" w:line="276" w:lineRule="auto"/>
      </w:pPr>
      <w:r>
        <w:rPr>
          <w:rFonts w:ascii="Segoe UI" w:hAnsi="Segoe UI"/>
          <w:i w:val="0"/>
          <w:color w:val="1F2937"/>
          <w:sz w:val="19"/>
        </w:rPr>
        <w:t>Función: Extraer, clasificar y resumir KAMs y KPIs ESG.</w:t>
      </w:r>
    </w:p>
    <w:p>
      <w:pPr>
        <w:pStyle w:val="ListBullet"/>
        <w:spacing w:after="60" w:before="0" w:line="276" w:lineRule="auto"/>
        <w:ind w:left="360"/>
      </w:pPr>
      <w:r>
        <w:rPr>
          <w:rFonts w:ascii="Segoe UI" w:hAnsi="Segoe UI"/>
          <w:b/>
          <w:color w:val="1F2937"/>
          <w:sz w:val="19"/>
        </w:rPr>
        <w:t xml:space="preserve">Entrada: </w:t>
      </w:r>
      <w:r>
        <w:rPr>
          <w:rFonts w:ascii="Segoe UI" w:hAnsi="Segoe UI"/>
          <w:color w:val="1F2937"/>
          <w:sz w:val="19"/>
        </w:rPr>
        <w:t>sección de texto (informe de auditoría, sección ESG)</w:t>
      </w:r>
    </w:p>
    <w:p>
      <w:pPr>
        <w:pStyle w:val="ListBullet"/>
        <w:spacing w:after="60" w:before="0" w:line="276" w:lineRule="auto"/>
        <w:ind w:left="360"/>
      </w:pPr>
      <w:r>
        <w:rPr>
          <w:rFonts w:ascii="Segoe UI" w:hAnsi="Segoe UI"/>
          <w:b/>
          <w:color w:val="1F2937"/>
          <w:sz w:val="19"/>
        </w:rPr>
        <w:t xml:space="preserve">Salida estructurada: </w:t>
      </w:r>
      <w:r>
        <w:rPr>
          <w:rFonts w:ascii="Segoe UI" w:hAnsi="Segoe UI"/>
          <w:color w:val="1F2937"/>
          <w:sz w:val="19"/>
        </w:rPr>
        <w:t>{value, unit, source_page, source_text, confidence, requires_review, reasoning_code}</w:t>
      </w:r>
    </w:p>
    <w:p>
      <w:pPr>
        <w:pStyle w:val="ListBullet"/>
        <w:spacing w:after="60" w:before="0" w:line="276" w:lineRule="auto"/>
        <w:ind w:left="360"/>
      </w:pPr>
      <w:r>
        <w:rPr>
          <w:rFonts w:ascii="Segoe UI" w:hAnsi="Segoe UI"/>
          <w:b/>
          <w:color w:val="1F2937"/>
          <w:sz w:val="19"/>
        </w:rPr>
        <w:t xml:space="preserve">Herramienta: </w:t>
      </w:r>
      <w:r>
        <w:rPr>
          <w:rFonts w:ascii="Segoe UI" w:hAnsi="Segoe UI"/>
          <w:color w:val="1F2937"/>
          <w:sz w:val="19"/>
        </w:rPr>
        <w:t>LLM local con RAG sobre el documento</w:t>
      </w:r>
    </w:p>
    <w:p>
      <w:pPr>
        <w:spacing w:after="80" w:before="0" w:line="276" w:lineRule="auto"/>
      </w:pPr>
      <w:r>
        <w:rPr>
          <w:rFonts w:ascii="Segoe UI" w:hAnsi="Segoe UI"/>
          <w:i w:val="0"/>
          <w:color w:val="1F2937"/>
          <w:sz w:val="19"/>
        </w:rPr>
        <w:t>Regla crítica para todos los agentes:</w:t>
      </w:r>
    </w:p>
    <w:tbl>
      <w:tblPr>
        <w:tblW w:type="auto" w:w="0"/>
        <w:jc w:val="center"/>
        <w:tblLayout w:type="fixed"/>
        <w:tblLook w:firstColumn="1" w:firstRow="1" w:lastColumn="0" w:lastRow="0" w:noHBand="0" w:noVBand="1" w:val="04A0"/>
      </w:tblPr>
      <w:tblGrid>
        <w:gridCol w:w="9317"/>
      </w:tblGrid>
      <w:tr>
        <w:tc>
          <w:tcPr>
            <w:tcW w:type="dxa" w:w="9317"/>
            <w:shd w:fill="0F172A"/>
            <w:tcMar>
              <w:top w:w="100" w:type="dxa"/>
              <w:bottom w:w="100" w:type="dxa"/>
              <w:left w:w="140" w:type="dxa"/>
              <w:right w:w="140" w:type="dxa"/>
            </w:tcMar>
            <w:tcBorders>
              <w:top w:val="single" w:sz="6" w:space="0" w:color="334155"/>
              <w:left w:val="single" w:sz="6" w:space="0" w:color="334155"/>
              <w:bottom w:val="single" w:sz="6" w:space="0" w:color="334155"/>
              <w:right w:val="single" w:sz="6" w:space="0" w:color="334155"/>
            </w:tcBorders>
          </w:tcPr>
          <w:p>
            <w:pPr>
              <w:spacing w:after="20" w:before="0" w:line="252" w:lineRule="auto"/>
            </w:pPr>
            <w:r>
              <w:rPr>
                <w:rFonts w:ascii="Consolas" w:hAnsi="Consolas"/>
                <w:color w:val="E2E8F0"/>
                <w:sz w:val="17"/>
              </w:rPr>
              <w:t>{</w:t>
            </w:r>
          </w:p>
          <w:p>
            <w:pPr>
              <w:spacing w:after="20" w:before="0" w:line="252" w:lineRule="auto"/>
            </w:pPr>
            <w:r>
              <w:rPr>
                <w:rFonts w:ascii="Consolas" w:hAnsi="Consolas"/>
                <w:color w:val="E2E8F0"/>
                <w:sz w:val="17"/>
              </w:rPr>
              <w:t xml:space="preserve">  "agent_output": {</w:t>
            </w:r>
          </w:p>
          <w:p>
            <w:pPr>
              <w:spacing w:after="20" w:before="0" w:line="252" w:lineRule="auto"/>
            </w:pPr>
            <w:r>
              <w:rPr>
                <w:rFonts w:ascii="Consolas" w:hAnsi="Consolas"/>
                <w:color w:val="E2E8F0"/>
                <w:sz w:val="17"/>
              </w:rPr>
              <w:t xml:space="preserve">    "value": null,</w:t>
            </w:r>
          </w:p>
          <w:p>
            <w:pPr>
              <w:spacing w:after="20" w:before="0" w:line="252" w:lineRule="auto"/>
            </w:pPr>
            <w:r>
              <w:rPr>
                <w:rFonts w:ascii="Consolas" w:hAnsi="Consolas"/>
                <w:color w:val="E2E8F0"/>
                <w:sz w:val="17"/>
              </w:rPr>
              <w:t xml:space="preserve">    "unit": null,</w:t>
            </w:r>
          </w:p>
          <w:p>
            <w:pPr>
              <w:spacing w:after="20" w:before="0" w:line="252" w:lineRule="auto"/>
            </w:pPr>
            <w:r>
              <w:rPr>
                <w:rFonts w:ascii="Consolas" w:hAnsi="Consolas"/>
                <w:color w:val="E2E8F0"/>
                <w:sz w:val="17"/>
              </w:rPr>
              <w:t xml:space="preserve">    "source_page": 118,</w:t>
            </w:r>
          </w:p>
          <w:p>
            <w:pPr>
              <w:spacing w:after="20" w:before="0" w:line="252" w:lineRule="auto"/>
            </w:pPr>
            <w:r>
              <w:rPr>
                <w:rFonts w:ascii="Consolas" w:hAnsi="Consolas"/>
                <w:color w:val="E2E8F0"/>
                <w:sz w:val="17"/>
              </w:rPr>
              <w:t xml:space="preserve">    "source_text": "La tasa de rotación mejoró sustancialmente",</w:t>
            </w:r>
          </w:p>
          <w:p>
            <w:pPr>
              <w:spacing w:after="20" w:before="0" w:line="252" w:lineRule="auto"/>
            </w:pPr>
            <w:r>
              <w:rPr>
                <w:rFonts w:ascii="Consolas" w:hAnsi="Consolas"/>
                <w:color w:val="E2E8F0"/>
                <w:sz w:val="17"/>
              </w:rPr>
              <w:t xml:space="preserve">    "confidence": 0.12,</w:t>
            </w:r>
          </w:p>
          <w:p>
            <w:pPr>
              <w:spacing w:after="20" w:before="0" w:line="252" w:lineRule="auto"/>
            </w:pPr>
            <w:r>
              <w:rPr>
                <w:rFonts w:ascii="Consolas" w:hAnsi="Consolas"/>
                <w:color w:val="E2E8F0"/>
                <w:sz w:val="17"/>
              </w:rPr>
              <w:t xml:space="preserve">    "requires_review": true,</w:t>
            </w:r>
          </w:p>
          <w:p>
            <w:pPr>
              <w:spacing w:after="20" w:before="0" w:line="252" w:lineRule="auto"/>
            </w:pPr>
            <w:r>
              <w:rPr>
                <w:rFonts w:ascii="Consolas" w:hAnsi="Consolas"/>
                <w:color w:val="E2E8F0"/>
                <w:sz w:val="17"/>
              </w:rPr>
              <w:t xml:space="preserve">    "reasoning": "Expresión cualitativa sin cifra numérica. No imputar valor.",</w:t>
            </w:r>
          </w:p>
          <w:p>
            <w:pPr>
              <w:spacing w:after="20" w:before="0" w:line="252" w:lineRule="auto"/>
            </w:pPr>
            <w:r>
              <w:rPr>
                <w:rFonts w:ascii="Consolas" w:hAnsi="Consolas"/>
                <w:color w:val="E2E8F0"/>
                <w:sz w:val="17"/>
              </w:rPr>
              <w:t xml:space="preserve">    "reasoning_code": "ESG_QUALITATIVE_ONLY_NO_NUMERIC"</w:t>
            </w:r>
          </w:p>
          <w:p>
            <w:pPr>
              <w:spacing w:after="20" w:before="0" w:line="252" w:lineRule="auto"/>
            </w:pPr>
            <w:r>
              <w:rPr>
                <w:rFonts w:ascii="Consolas" w:hAnsi="Consolas"/>
                <w:color w:val="E2E8F0"/>
                <w:sz w:val="17"/>
              </w:rPr>
              <w:t xml:space="preserve">  }</w:t>
            </w:r>
          </w:p>
          <w:p>
            <w:pPr>
              <w:spacing w:after="20" w:before="0" w:line="252" w:lineRule="auto"/>
            </w:pPr>
            <w:r>
              <w:rPr>
                <w:rFonts w:ascii="Consolas" w:hAnsi="Consolas"/>
                <w:color w:val="E2E8F0"/>
                <w:sz w:val="17"/>
              </w:rPr>
              <w:t>}</w:t>
            </w:r>
          </w:p>
        </w:tc>
      </w:tr>
    </w:tbl>
    <w:p>
      <w:pPr>
        <w:spacing w:after="80"/>
      </w:pPr>
    </w:p>
    <w:p>
      <w:pPr>
        <w:spacing w:after="80" w:before="0" w:line="276" w:lineRule="auto"/>
      </w:pPr>
      <w:r>
        <w:rPr>
          <w:rFonts w:ascii="Segoe UI" w:hAnsi="Segoe UI"/>
          <w:i/>
          <w:color w:val="1F2937"/>
          <w:sz w:val="19"/>
        </w:rPr>
        <w:t>Nunca inventar un valor. Si no hay cifra, el campo value es null y requires_review es true.</w:t>
      </w:r>
    </w:p>
    <w:p>
      <w:pPr>
        <w:keepNext/>
        <w:spacing w:before="320" w:after="120"/>
      </w:pPr>
      <w:r>
        <w:rPr>
          <w:rFonts w:ascii="Segoe UI" w:hAnsi="Segoe UI"/>
          <w:b/>
          <w:color w:val="0B2545"/>
          <w:sz w:val="28"/>
        </w:rPr>
        <w:t>CAPÍTULO 6. INFRAESTRUCTURA PROGRESIVA</w:t>
      </w:r>
    </w:p>
    <w:p>
      <w:pPr>
        <w:keepNext/>
        <w:spacing w:before="240" w:after="80"/>
      </w:pPr>
      <w:r>
        <w:rPr>
          <w:rFonts w:ascii="Segoe UI" w:hAnsi="Segoe UI"/>
          <w:b/>
          <w:color w:val="134074"/>
          <w:sz w:val="23"/>
        </w:rPr>
        <w:t>Fase Personal (meses 0–4, antes del VPS)</w:t>
      </w:r>
    </w:p>
    <w:tbl>
      <w:tblPr>
        <w:tblW w:type="auto" w:w="0"/>
        <w:jc w:val="center"/>
        <w:tblLayout w:type="fixed"/>
        <w:tblLook w:firstColumn="1" w:firstRow="1" w:lastColumn="0" w:lastRow="0" w:noHBand="0" w:noVBand="1" w:val="04A0"/>
      </w:tblPr>
      <w:tblGrid>
        <w:gridCol w:w="9317"/>
      </w:tblGrid>
      <w:tr>
        <w:tc>
          <w:tcPr>
            <w:tcW w:type="dxa" w:w="9317"/>
            <w:shd w:fill="0F172A"/>
            <w:tcMar>
              <w:top w:w="100" w:type="dxa"/>
              <w:bottom w:w="100" w:type="dxa"/>
              <w:left w:w="140" w:type="dxa"/>
              <w:right w:w="140" w:type="dxa"/>
            </w:tcMar>
            <w:tcBorders>
              <w:top w:val="single" w:sz="6" w:space="0" w:color="334155"/>
              <w:left w:val="single" w:sz="6" w:space="0" w:color="334155"/>
              <w:bottom w:val="single" w:sz="6" w:space="0" w:color="334155"/>
              <w:right w:val="single" w:sz="6" w:space="0" w:color="334155"/>
            </w:tcBorders>
          </w:tcPr>
          <w:p>
            <w:pPr>
              <w:spacing w:after="20" w:before="0" w:line="252" w:lineRule="auto"/>
            </w:pPr>
            <w:r>
              <w:rPr>
                <w:rFonts w:ascii="Consolas" w:hAnsi="Consolas"/>
                <w:color w:val="E2E8F0"/>
                <w:sz w:val="17"/>
              </w:rPr>
              <w:t>Hardware local (Windows + WSL2 recomendado):</w:t>
            </w:r>
          </w:p>
          <w:p>
            <w:pPr>
              <w:spacing w:after="20" w:before="0" w:line="252" w:lineRule="auto"/>
            </w:pPr>
            <w:r>
              <w:rPr>
                <w:rFonts w:ascii="Consolas" w:hAnsi="Consolas"/>
                <w:color w:val="E2E8F0"/>
                <w:sz w:val="17"/>
              </w:rPr>
              <w:t>├── Python 3.11+ con entorno virtual</w:t>
            </w:r>
          </w:p>
          <w:p>
            <w:pPr>
              <w:spacing w:after="20" w:before="0" w:line="252" w:lineRule="auto"/>
            </w:pPr>
            <w:r>
              <w:rPr>
                <w:rFonts w:ascii="Consolas" w:hAnsi="Consolas"/>
                <w:color w:val="E2E8F0"/>
                <w:sz w:val="17"/>
              </w:rPr>
              <w:t>├── Git (control de versiones de todo el código y configuración)</w:t>
            </w:r>
          </w:p>
          <w:p>
            <w:pPr>
              <w:spacing w:after="20" w:before="0" w:line="252" w:lineRule="auto"/>
            </w:pPr>
            <w:r>
              <w:rPr>
                <w:rFonts w:ascii="Consolas" w:hAnsi="Consolas"/>
                <w:color w:val="E2E8F0"/>
                <w:sz w:val="17"/>
              </w:rPr>
              <w:t>├── DuckDB (base de datos analítica columnar embebida, sin servidor)</w:t>
            </w:r>
          </w:p>
          <w:p>
            <w:pPr>
              <w:spacing w:after="20" w:before="0" w:line="252" w:lineRule="auto"/>
            </w:pPr>
            <w:r>
              <w:rPr>
                <w:rFonts w:ascii="Consolas" w:hAnsi="Consolas"/>
                <w:color w:val="E2E8F0"/>
                <w:sz w:val="17"/>
              </w:rPr>
              <w:t>├── Parquet (formato de almacenamiento columnar)</w:t>
            </w:r>
          </w:p>
          <w:p>
            <w:pPr>
              <w:spacing w:after="20" w:before="0" w:line="252" w:lineRule="auto"/>
            </w:pPr>
            <w:r>
              <w:rPr>
                <w:rFonts w:ascii="Consolas" w:hAnsi="Consolas"/>
                <w:color w:val="E2E8F0"/>
                <w:sz w:val="17"/>
              </w:rPr>
              <w:t>├── Arelle (instalado vía pip, validación ESEF local)</w:t>
            </w:r>
          </w:p>
          <w:p>
            <w:pPr>
              <w:spacing w:after="20" w:before="0" w:line="252" w:lineRule="auto"/>
            </w:pPr>
            <w:r>
              <w:rPr>
                <w:rFonts w:ascii="Consolas" w:hAnsi="Consolas"/>
                <w:color w:val="E2E8F0"/>
                <w:sz w:val="17"/>
              </w:rPr>
              <w:t>├── Ollama (modelos LLM locales: Llama 3, Mistral, mxbai-embed)</w:t>
            </w:r>
          </w:p>
          <w:p>
            <w:pPr>
              <w:spacing w:after="20" w:before="0" w:line="252" w:lineRule="auto"/>
            </w:pPr>
            <w:r>
              <w:rPr>
                <w:rFonts w:ascii="Consolas" w:hAnsi="Consolas"/>
                <w:color w:val="E2E8F0"/>
                <w:sz w:val="17"/>
              </w:rPr>
              <w:t>└── Almacenamiento local estructurado (ver Anexo III)</w:t>
            </w:r>
          </w:p>
        </w:tc>
      </w:tr>
    </w:tbl>
    <w:p>
      <w:pPr>
        <w:spacing w:after="80"/>
      </w:pPr>
    </w:p>
    <w:p>
      <w:pPr>
        <w:keepNext/>
        <w:spacing w:before="240" w:after="80"/>
      </w:pPr>
      <w:r>
        <w:rPr>
          <w:rFonts w:ascii="Segoe UI" w:hAnsi="Segoe UI"/>
          <w:b/>
          <w:color w:val="134074"/>
          <w:sz w:val="23"/>
        </w:rPr>
        <w:t>Fase MVP (meses 4–12, con VPS)</w:t>
      </w:r>
    </w:p>
    <w:tbl>
      <w:tblPr>
        <w:tblW w:type="auto" w:w="0"/>
        <w:jc w:val="center"/>
        <w:tblLayout w:type="fixed"/>
        <w:tblLook w:firstColumn="1" w:firstRow="1" w:lastColumn="0" w:lastRow="0" w:noHBand="0" w:noVBand="1" w:val="04A0"/>
      </w:tblPr>
      <w:tblGrid>
        <w:gridCol w:w="9317"/>
      </w:tblGrid>
      <w:tr>
        <w:tc>
          <w:tcPr>
            <w:tcW w:type="dxa" w:w="9317"/>
            <w:shd w:fill="0F172A"/>
            <w:tcMar>
              <w:top w:w="100" w:type="dxa"/>
              <w:bottom w:w="100" w:type="dxa"/>
              <w:left w:w="140" w:type="dxa"/>
              <w:right w:w="140" w:type="dxa"/>
            </w:tcMar>
            <w:tcBorders>
              <w:top w:val="single" w:sz="6" w:space="0" w:color="334155"/>
              <w:left w:val="single" w:sz="6" w:space="0" w:color="334155"/>
              <w:bottom w:val="single" w:sz="6" w:space="0" w:color="334155"/>
              <w:right w:val="single" w:sz="6" w:space="0" w:color="334155"/>
            </w:tcBorders>
          </w:tcPr>
          <w:p>
            <w:pPr>
              <w:spacing w:after="20" w:before="0" w:line="252" w:lineRule="auto"/>
            </w:pPr>
            <w:r>
              <w:rPr>
                <w:rFonts w:ascii="Consolas" w:hAnsi="Consolas"/>
                <w:color w:val="E2E8F0"/>
                <w:sz w:val="17"/>
              </w:rPr>
              <w:t>VPS Linux (Ubuntu 22.04 LTS, mínimo 4 vCPU, 16GB RAM, 500GB SSD):</w:t>
            </w:r>
          </w:p>
          <w:p>
            <w:pPr>
              <w:spacing w:after="20" w:before="0" w:line="252" w:lineRule="auto"/>
            </w:pPr>
            <w:r>
              <w:rPr>
                <w:rFonts w:ascii="Consolas" w:hAnsi="Consolas"/>
                <w:color w:val="E2E8F0"/>
                <w:sz w:val="17"/>
              </w:rPr>
              <w:t>├── PostgreSQL 16 (base de datos relacional para metadatos y usuarios)</w:t>
            </w:r>
          </w:p>
          <w:p>
            <w:pPr>
              <w:spacing w:after="20" w:before="0" w:line="252" w:lineRule="auto"/>
            </w:pPr>
            <w:r>
              <w:rPr>
                <w:rFonts w:ascii="Consolas" w:hAnsi="Consolas"/>
                <w:color w:val="E2E8F0"/>
                <w:sz w:val="17"/>
              </w:rPr>
              <w:t>├── MinIO o Backblaze B2 (object storage para documentos raw)</w:t>
            </w:r>
          </w:p>
          <w:p>
            <w:pPr>
              <w:spacing w:after="20" w:before="0" w:line="252" w:lineRule="auto"/>
            </w:pPr>
            <w:r>
              <w:rPr>
                <w:rFonts w:ascii="Consolas" w:hAnsi="Consolas"/>
                <w:color w:val="E2E8F0"/>
                <w:sz w:val="17"/>
              </w:rPr>
              <w:t>├── FastAPI (API REST, Python)</w:t>
            </w:r>
          </w:p>
          <w:p>
            <w:pPr>
              <w:spacing w:after="20" w:before="0" w:line="252" w:lineRule="auto"/>
            </w:pPr>
            <w:r>
              <w:rPr>
                <w:rFonts w:ascii="Consolas" w:hAnsi="Consolas"/>
                <w:color w:val="E2E8F0"/>
                <w:sz w:val="17"/>
              </w:rPr>
              <w:t>├── React 18 + Vite (frontend web portal)</w:t>
            </w:r>
          </w:p>
          <w:p>
            <w:pPr>
              <w:spacing w:after="20" w:before="0" w:line="252" w:lineRule="auto"/>
            </w:pPr>
            <w:r>
              <w:rPr>
                <w:rFonts w:ascii="Consolas" w:hAnsi="Consolas"/>
                <w:color w:val="E2E8F0"/>
                <w:sz w:val="17"/>
              </w:rPr>
              <w:t>├── Prefect (orquestación de pipelines, open source)</w:t>
            </w:r>
          </w:p>
          <w:p>
            <w:pPr>
              <w:spacing w:after="20" w:before="0" w:line="252" w:lineRule="auto"/>
            </w:pPr>
            <w:r>
              <w:rPr>
                <w:rFonts w:ascii="Consolas" w:hAnsi="Consolas"/>
                <w:color w:val="E2E8F0"/>
                <w:sz w:val="17"/>
              </w:rPr>
              <w:t>├── Nginx (proxy inverso + SSL)</w:t>
            </w:r>
          </w:p>
          <w:p>
            <w:pPr>
              <w:spacing w:after="20" w:before="0" w:line="252" w:lineRule="auto"/>
            </w:pPr>
            <w:r>
              <w:rPr>
                <w:rFonts w:ascii="Consolas" w:hAnsi="Consolas"/>
                <w:color w:val="E2E8F0"/>
                <w:sz w:val="17"/>
              </w:rPr>
              <w:t>├── Docker + Docker Compose (contenedores reproducibles)</w:t>
            </w:r>
          </w:p>
          <w:p>
            <w:pPr>
              <w:spacing w:after="20" w:before="0" w:line="252" w:lineRule="auto"/>
            </w:pPr>
            <w:r>
              <w:rPr>
                <w:rFonts w:ascii="Consolas" w:hAnsi="Consolas"/>
                <w:color w:val="E2E8F0"/>
                <w:sz w:val="17"/>
              </w:rPr>
              <w:t>├── Sentry (monitorización de errores)</w:t>
            </w:r>
          </w:p>
          <w:p>
            <w:pPr>
              <w:spacing w:after="20" w:before="0" w:line="252" w:lineRule="auto"/>
            </w:pPr>
            <w:r>
              <w:rPr>
                <w:rFonts w:ascii="Consolas" w:hAnsi="Consolas"/>
                <w:color w:val="E2E8F0"/>
                <w:sz w:val="17"/>
              </w:rPr>
              <w:t>├── Backups automáticos diarios (offsite)</w:t>
            </w:r>
          </w:p>
          <w:p>
            <w:pPr>
              <w:spacing w:after="20" w:before="0" w:line="252" w:lineRule="auto"/>
            </w:pPr>
            <w:r>
              <w:rPr>
                <w:rFonts w:ascii="Consolas" w:hAnsi="Consolas"/>
                <w:color w:val="E2E8F0"/>
                <w:sz w:val="17"/>
              </w:rPr>
              <w:t>└── Modelo Ollama en VPS o hardware propio según capacidad</w:t>
            </w:r>
          </w:p>
        </w:tc>
      </w:tr>
    </w:tbl>
    <w:p>
      <w:pPr>
        <w:spacing w:after="80"/>
      </w:pPr>
    </w:p>
    <w:p>
      <w:pPr>
        <w:spacing w:after="80" w:before="0" w:line="276" w:lineRule="auto"/>
      </w:pPr>
      <w:r>
        <w:rPr>
          <w:rFonts w:ascii="Segoe UI" w:hAnsi="Segoe UI"/>
          <w:i w:val="0"/>
          <w:color w:val="1F2937"/>
          <w:sz w:val="19"/>
        </w:rPr>
        <w:t>Coste estimado VPS: 30–80 €/mes según proveedor (Hetzner, OVH, DigitalOcean).</w:t>
      </w:r>
    </w:p>
    <w:p>
      <w:pPr>
        <w:keepNext/>
        <w:spacing w:before="240" w:after="80"/>
      </w:pPr>
      <w:r>
        <w:rPr>
          <w:rFonts w:ascii="Segoe UI" w:hAnsi="Segoe UI"/>
          <w:b/>
          <w:color w:val="134074"/>
          <w:sz w:val="23"/>
        </w:rPr>
        <w:t>Fase Institucional (año 2+)</w:t>
      </w:r>
    </w:p>
    <w:tbl>
      <w:tblPr>
        <w:tblW w:type="auto" w:w="0"/>
        <w:jc w:val="center"/>
        <w:tblLayout w:type="fixed"/>
        <w:tblLook w:firstColumn="1" w:firstRow="1" w:lastColumn="0" w:lastRow="0" w:noHBand="0" w:noVBand="1" w:val="04A0"/>
      </w:tblPr>
      <w:tblGrid>
        <w:gridCol w:w="9317"/>
      </w:tblGrid>
      <w:tr>
        <w:tc>
          <w:tcPr>
            <w:tcW w:type="dxa" w:w="9317"/>
            <w:shd w:fill="0F172A"/>
            <w:tcMar>
              <w:top w:w="100" w:type="dxa"/>
              <w:bottom w:w="100" w:type="dxa"/>
              <w:left w:w="140" w:type="dxa"/>
              <w:right w:w="140" w:type="dxa"/>
            </w:tcMar>
            <w:tcBorders>
              <w:top w:val="single" w:sz="6" w:space="0" w:color="334155"/>
              <w:left w:val="single" w:sz="6" w:space="0" w:color="334155"/>
              <w:bottom w:val="single" w:sz="6" w:space="0" w:color="334155"/>
              <w:right w:val="single" w:sz="6" w:space="0" w:color="334155"/>
            </w:tcBorders>
          </w:tcPr>
          <w:p>
            <w:pPr>
              <w:spacing w:after="20" w:before="0" w:line="252" w:lineRule="auto"/>
            </w:pPr>
            <w:r>
              <w:rPr>
                <w:rFonts w:ascii="Consolas" w:hAnsi="Consolas"/>
                <w:color w:val="E2E8F0"/>
                <w:sz w:val="17"/>
              </w:rPr>
              <w:t>Cloud híbrido:</w:t>
            </w:r>
          </w:p>
          <w:p>
            <w:pPr>
              <w:spacing w:after="20" w:before="0" w:line="252" w:lineRule="auto"/>
            </w:pPr>
            <w:r>
              <w:rPr>
                <w:rFonts w:ascii="Consolas" w:hAnsi="Consolas"/>
                <w:color w:val="E2E8F0"/>
                <w:sz w:val="17"/>
              </w:rPr>
              <w:t>├── Data Lake (object storage versionado: S3 compatible)</w:t>
            </w:r>
          </w:p>
          <w:p>
            <w:pPr>
              <w:spacing w:after="20" w:before="0" w:line="252" w:lineRule="auto"/>
            </w:pPr>
            <w:r>
              <w:rPr>
                <w:rFonts w:ascii="Consolas" w:hAnsi="Consolas"/>
                <w:color w:val="E2E8F0"/>
                <w:sz w:val="17"/>
              </w:rPr>
              <w:t>├── Data Warehouse (PostgreSQL con particionado o ClickHouse)</w:t>
            </w:r>
          </w:p>
          <w:p>
            <w:pPr>
              <w:spacing w:after="20" w:before="0" w:line="252" w:lineRule="auto"/>
            </w:pPr>
            <w:r>
              <w:rPr>
                <w:rFonts w:ascii="Consolas" w:hAnsi="Consolas"/>
                <w:color w:val="E2E8F0"/>
                <w:sz w:val="17"/>
              </w:rPr>
              <w:t>├── API Gateway con IAM (gestión de usuarios, claves API, cuotas)</w:t>
            </w:r>
          </w:p>
          <w:p>
            <w:pPr>
              <w:spacing w:after="20" w:before="0" w:line="252" w:lineRule="auto"/>
            </w:pPr>
            <w:r>
              <w:rPr>
                <w:rFonts w:ascii="Consolas" w:hAnsi="Consolas"/>
                <w:color w:val="E2E8F0"/>
                <w:sz w:val="17"/>
              </w:rPr>
              <w:t>├── CDN para assets estáticos</w:t>
            </w:r>
          </w:p>
          <w:p>
            <w:pPr>
              <w:spacing w:after="20" w:before="0" w:line="252" w:lineRule="auto"/>
            </w:pPr>
            <w:r>
              <w:rPr>
                <w:rFonts w:ascii="Consolas" w:hAnsi="Consolas"/>
                <w:color w:val="E2E8F0"/>
                <w:sz w:val="17"/>
              </w:rPr>
              <w:t>├── Observabilidad: Grafana + Prometheus + Loki</w:t>
            </w:r>
          </w:p>
          <w:p>
            <w:pPr>
              <w:spacing w:after="20" w:before="0" w:line="252" w:lineRule="auto"/>
            </w:pPr>
            <w:r>
              <w:rPr>
                <w:rFonts w:ascii="Consolas" w:hAnsi="Consolas"/>
                <w:color w:val="E2E8F0"/>
                <w:sz w:val="17"/>
              </w:rPr>
              <w:t>├── CI/CD: GitHub Actions</w:t>
            </w:r>
          </w:p>
          <w:p>
            <w:pPr>
              <w:spacing w:after="20" w:before="0" w:line="252" w:lineRule="auto"/>
            </w:pPr>
            <w:r>
              <w:rPr>
                <w:rFonts w:ascii="Consolas" w:hAnsi="Consolas"/>
                <w:color w:val="E2E8F0"/>
                <w:sz w:val="17"/>
              </w:rPr>
              <w:t>├── Ambientes separados: dev / staging / prod</w:t>
            </w:r>
          </w:p>
          <w:p>
            <w:pPr>
              <w:spacing w:after="20" w:before="0" w:line="252" w:lineRule="auto"/>
            </w:pPr>
            <w:r>
              <w:rPr>
                <w:rFonts w:ascii="Consolas" w:hAnsi="Consolas"/>
                <w:color w:val="E2E8F0"/>
                <w:sz w:val="17"/>
              </w:rPr>
              <w:t>├── SLA documentado y política de recuperación ante desastres</w:t>
            </w:r>
          </w:p>
          <w:p>
            <w:pPr>
              <w:spacing w:after="20" w:before="0" w:line="252" w:lineRule="auto"/>
            </w:pPr>
            <w:r>
              <w:rPr>
                <w:rFonts w:ascii="Consolas" w:hAnsi="Consolas"/>
                <w:color w:val="E2E8F0"/>
                <w:sz w:val="17"/>
              </w:rPr>
              <w:t>└── Auditoría de seguridad anual</w:t>
            </w:r>
          </w:p>
        </w:tc>
      </w:tr>
    </w:tbl>
    <w:p>
      <w:pPr>
        <w:spacing w:after="80"/>
      </w:pPr>
    </w:p>
    <w:p>
      <w:pPr>
        <w:keepNext/>
        <w:spacing w:before="240" w:after="80"/>
      </w:pPr>
      <w:r>
        <w:rPr>
          <w:rFonts w:ascii="Segoe UI" w:hAnsi="Segoe UI"/>
          <w:b/>
          <w:color w:val="134074"/>
          <w:sz w:val="23"/>
        </w:rPr>
        <w:t>Arquitectura de carpetas del sistema</w:t>
      </w:r>
    </w:p>
    <w:p>
      <w:pPr>
        <w:spacing w:after="80" w:before="0" w:line="276" w:lineRule="auto"/>
      </w:pPr>
      <w:r>
        <w:rPr>
          <w:rFonts w:ascii="Segoe UI" w:hAnsi="Segoe UI"/>
          <w:i w:val="0"/>
          <w:color w:val="1F2937"/>
          <w:sz w:val="19"/>
        </w:rPr>
        <w:t>Ver Anexo III al final del informe.</w:t>
      </w:r>
    </w:p>
    <w:p>
      <w:pPr>
        <w:keepNext/>
        <w:spacing w:before="320" w:after="120"/>
      </w:pPr>
      <w:r>
        <w:rPr>
          <w:rFonts w:ascii="Segoe UI" w:hAnsi="Segoe UI"/>
          <w:b/>
          <w:color w:val="0B2545"/>
          <w:sz w:val="28"/>
        </w:rPr>
        <w:t>CAPÍTULO 7. ECONOMÍA DEL PROYECTO</w:t>
      </w:r>
    </w:p>
    <w:p>
      <w:pPr>
        <w:keepNext/>
        <w:spacing w:before="240" w:after="80"/>
      </w:pPr>
      <w:r>
        <w:rPr>
          <w:rFonts w:ascii="Segoe UI" w:hAnsi="Segoe UI"/>
          <w:b/>
          <w:color w:val="134074"/>
          <w:sz w:val="23"/>
        </w:rPr>
        <w:t>7.1. Escenario mínimo (primer año, solo fundador)</w:t>
      </w:r>
    </w:p>
    <w:tbl>
      <w:tblPr>
        <w:tblW w:type="auto" w:w="0"/>
        <w:jc w:val="center"/>
        <w:tblLayout w:type="fixed"/>
        <w:tblLook w:firstColumn="1" w:firstRow="1" w:lastColumn="0" w:lastRow="0" w:noHBand="0" w:noVBand="1" w:val="04A0"/>
      </w:tblPr>
      <w:tblGrid>
        <w:gridCol w:w="4658"/>
        <w:gridCol w:w="4658"/>
      </w:tblGrid>
      <w:tr>
        <w:trPr>
          <w:tblHeader/>
          <w:cantSplit/>
        </w:trPr>
        <w:tc>
          <w:tcPr>
            <w:tcW w:type="dxa" w:w="7200"/>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Concepto</w:t>
            </w:r>
          </w:p>
        </w:tc>
        <w:tc>
          <w:tcPr>
            <w:tcW w:type="dxa" w:w="3168"/>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Coste anual estimado</w:t>
            </w:r>
          </w:p>
        </w:tc>
      </w:tr>
      <w:tr>
        <w:trPr>
          <w:cantSplit/>
        </w:trPr>
        <w:tc>
          <w:tcPr>
            <w:tcW w:type="dxa" w:w="720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VPS (Hetzner CX42: 8vCPU, 32GB RAM)</w:t>
            </w:r>
          </w:p>
        </w:tc>
        <w:tc>
          <w:tcPr>
            <w:tcW w:type="dxa" w:w="31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360–600 €</w:t>
            </w:r>
          </w:p>
        </w:tc>
      </w:tr>
      <w:tr>
        <w:trPr>
          <w:cantSplit/>
        </w:trPr>
        <w:tc>
          <w:tcPr>
            <w:tcW w:type="dxa" w:w="720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Almacenamiento object storage (100GB)</w:t>
            </w:r>
          </w:p>
        </w:tc>
        <w:tc>
          <w:tcPr>
            <w:tcW w:type="dxa" w:w="316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60–120 €</w:t>
            </w:r>
          </w:p>
        </w:tc>
      </w:tr>
      <w:tr>
        <w:trPr>
          <w:cantSplit/>
        </w:trPr>
        <w:tc>
          <w:tcPr>
            <w:tcW w:type="dxa" w:w="720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Dominio y subdominios</w:t>
            </w:r>
          </w:p>
        </w:tc>
        <w:tc>
          <w:tcPr>
            <w:tcW w:type="dxa" w:w="31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50–100 €</w:t>
            </w:r>
          </w:p>
        </w:tc>
      </w:tr>
      <w:tr>
        <w:trPr>
          <w:cantSplit/>
        </w:trPr>
        <w:tc>
          <w:tcPr>
            <w:tcW w:type="dxa" w:w="720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SSL y herramientas de seguridad</w:t>
            </w:r>
          </w:p>
        </w:tc>
        <w:tc>
          <w:tcPr>
            <w:tcW w:type="dxa" w:w="316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0–50 €</w:t>
            </w:r>
          </w:p>
        </w:tc>
      </w:tr>
      <w:tr>
        <w:trPr>
          <w:cantSplit/>
        </w:trPr>
        <w:tc>
          <w:tcPr>
            <w:tcW w:type="dxa" w:w="720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Herramientas de desarrollo</w:t>
            </w:r>
          </w:p>
        </w:tc>
        <w:tc>
          <w:tcPr>
            <w:tcW w:type="dxa" w:w="31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0–250 €</w:t>
            </w:r>
          </w:p>
        </w:tc>
      </w:tr>
      <w:tr>
        <w:trPr>
          <w:cantSplit/>
        </w:trPr>
        <w:tc>
          <w:tcPr>
            <w:tcW w:type="dxa" w:w="720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Diseño web básico (plantilla + adaptación)</w:t>
            </w:r>
          </w:p>
        </w:tc>
        <w:tc>
          <w:tcPr>
            <w:tcW w:type="dxa" w:w="316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200–800 €</w:t>
            </w:r>
          </w:p>
        </w:tc>
      </w:tr>
      <w:tr>
        <w:trPr>
          <w:cantSplit/>
        </w:trPr>
        <w:tc>
          <w:tcPr>
            <w:tcW w:type="dxa" w:w="720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Seguro RC Profesional Tecnológica / Tratamiento de Datos (Económico)</w:t>
            </w:r>
          </w:p>
        </w:tc>
        <w:tc>
          <w:tcPr>
            <w:tcW w:type="dxa" w:w="31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400–600 €</w:t>
            </w:r>
          </w:p>
        </w:tc>
      </w:tr>
      <w:tr>
        <w:trPr>
          <w:cantSplit/>
        </w:trPr>
        <w:tc>
          <w:tcPr>
            <w:tcW w:type="dxa" w:w="720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Revisión legal inicial (consulta abogado / clínica jurídica)</w:t>
            </w:r>
          </w:p>
        </w:tc>
        <w:tc>
          <w:tcPr>
            <w:tcW w:type="dxa" w:w="316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300–1.000 €</w:t>
            </w:r>
          </w:p>
        </w:tc>
      </w:tr>
      <w:tr>
        <w:trPr>
          <w:cantSplit/>
        </w:trPr>
        <w:tc>
          <w:tcPr>
            <w:tcW w:type="dxa" w:w="720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Asesoría contable y fiscal (alta autónomo / SL)</w:t>
            </w:r>
          </w:p>
        </w:tc>
        <w:tc>
          <w:tcPr>
            <w:tcW w:type="dxa" w:w="31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300–800 €</w:t>
            </w:r>
          </w:p>
        </w:tc>
      </w:tr>
      <w:tr>
        <w:trPr>
          <w:cantSplit/>
        </w:trPr>
        <w:tc>
          <w:tcPr>
            <w:tcW w:type="dxa" w:w="720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Gastos contingencia</w:t>
            </w:r>
          </w:p>
        </w:tc>
        <w:tc>
          <w:tcPr>
            <w:tcW w:type="dxa" w:w="316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500–1.000 €</w:t>
            </w:r>
          </w:p>
        </w:tc>
      </w:tr>
      <w:tr>
        <w:trPr>
          <w:cantSplit/>
        </w:trPr>
        <w:tc>
          <w:tcPr>
            <w:tcW w:type="dxa" w:w="720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TOTAL</w:t>
            </w:r>
          </w:p>
        </w:tc>
        <w:tc>
          <w:tcPr>
            <w:tcW w:type="dxa" w:w="31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~2.170–5.320 €/año</w:t>
            </w:r>
          </w:p>
        </w:tc>
      </w:tr>
    </w:tbl>
    <w:p>
      <w:pPr>
        <w:spacing w:after="80"/>
      </w:pPr>
    </w:p>
    <w:p>
      <w:pPr>
        <w:spacing w:after="80" w:before="0" w:line="276" w:lineRule="auto"/>
      </w:pPr>
      <w:r>
        <w:rPr>
          <w:rFonts w:ascii="Segoe UI" w:hAnsi="Segoe UI"/>
          <w:i w:val="0"/>
          <w:color w:val="1F2937"/>
          <w:sz w:val="19"/>
        </w:rPr>
        <w:t>Este escenario es plenamente viable con el presupuesto declarado (5.000–15.000 €).</w:t>
      </w:r>
    </w:p>
    <w:p>
      <w:pPr>
        <w:keepNext/>
        <w:spacing w:before="240" w:after="80"/>
      </w:pPr>
      <w:r>
        <w:rPr>
          <w:rFonts w:ascii="Segoe UI" w:hAnsi="Segoe UI"/>
          <w:b/>
          <w:color w:val="134074"/>
          <w:sz w:val="23"/>
        </w:rPr>
        <w:t>7.2. Escenario razonable (primer año, con web operativa y 3 países)</w:t>
      </w:r>
    </w:p>
    <w:tbl>
      <w:tblPr>
        <w:tblW w:type="auto" w:w="0"/>
        <w:jc w:val="center"/>
        <w:tblLayout w:type="fixed"/>
        <w:tblLook w:firstColumn="1" w:firstRow="1" w:lastColumn="0" w:lastRow="0" w:noHBand="0" w:noVBand="1" w:val="04A0"/>
      </w:tblPr>
      <w:tblGrid>
        <w:gridCol w:w="4658"/>
        <w:gridCol w:w="4658"/>
      </w:tblGrid>
      <w:tr>
        <w:trPr>
          <w:tblHeader/>
          <w:cantSplit/>
        </w:trPr>
        <w:tc>
          <w:tcPr>
            <w:tcW w:type="dxa" w:w="7200"/>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Concepto</w:t>
            </w:r>
          </w:p>
        </w:tc>
        <w:tc>
          <w:tcPr>
            <w:tcW w:type="dxa" w:w="3168"/>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Coste anual estimado</w:t>
            </w:r>
          </w:p>
        </w:tc>
      </w:tr>
      <w:tr>
        <w:trPr>
          <w:cantSplit/>
        </w:trPr>
        <w:tc>
          <w:tcPr>
            <w:tcW w:type="dxa" w:w="720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Infraestructura cloud (VPS + object storage + CDN)</w:t>
            </w:r>
          </w:p>
        </w:tc>
        <w:tc>
          <w:tcPr>
            <w:tcW w:type="dxa" w:w="31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1.200–3.000 €</w:t>
            </w:r>
          </w:p>
        </w:tc>
      </w:tr>
      <w:tr>
        <w:trPr>
          <w:cantSplit/>
        </w:trPr>
        <w:tc>
          <w:tcPr>
            <w:tcW w:type="dxa" w:w="720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Desarrollo frontend y UX (subcontratado parcialmente)</w:t>
            </w:r>
          </w:p>
        </w:tc>
        <w:tc>
          <w:tcPr>
            <w:tcW w:type="dxa" w:w="316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2.000–5.000 €</w:t>
            </w:r>
          </w:p>
        </w:tc>
      </w:tr>
      <w:tr>
        <w:trPr>
          <w:cantSplit/>
        </w:trPr>
        <w:tc>
          <w:tcPr>
            <w:tcW w:type="dxa" w:w="720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Seguro RC Profesional Tecnológica / Datos (Hiscox / Markel)</w:t>
            </w:r>
          </w:p>
        </w:tc>
        <w:tc>
          <w:tcPr>
            <w:tcW w:type="dxa" w:w="31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t>500–500 €</w:t>
            </w:r>
          </w:p>
        </w:tc>
      </w:tr>
      <w:tr>
        <w:trPr>
          <w:cantSplit/>
        </w:trPr>
        <w:tc>
          <w:tcPr>
            <w:tcW w:type="dxa" w:w="720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Revisión legal + asesoría contable</w:t>
            </w:r>
          </w:p>
        </w:tc>
        <w:tc>
          <w:tcPr>
            <w:tcW w:type="dxa" w:w="316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1.500–3.500 €</w:t>
            </w:r>
          </w:p>
        </w:tc>
      </w:tr>
      <w:tr>
        <w:trPr>
          <w:cantSplit/>
        </w:trPr>
        <w:tc>
          <w:tcPr>
            <w:tcW w:type="dxa" w:w="720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Marketing inicial (SEO, contenido, redes)</w:t>
            </w:r>
          </w:p>
        </w:tc>
        <w:tc>
          <w:tcPr>
            <w:tcW w:type="dxa" w:w="31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t>400 €</w:t>
            </w:r>
          </w:p>
        </w:tc>
      </w:tr>
      <w:tr>
        <w:trPr>
          <w:cantSplit/>
        </w:trPr>
        <w:tc>
          <w:tcPr>
            <w:tcW w:type="dxa" w:w="720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Fuentes de datos complementarias (opcionales)</w:t>
            </w:r>
          </w:p>
        </w:tc>
        <w:tc>
          <w:tcPr>
            <w:tcW w:type="dxa" w:w="316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0–3.000 €</w:t>
            </w:r>
          </w:p>
        </w:tc>
      </w:tr>
      <w:tr>
        <w:trPr>
          <w:cantSplit/>
        </w:trPr>
        <w:tc>
          <w:tcPr>
            <w:tcW w:type="dxa" w:w="720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Contingencia y gastos varios</w:t>
            </w:r>
          </w:p>
        </w:tc>
        <w:tc>
          <w:tcPr>
            <w:tcW w:type="dxa" w:w="31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1.000–2.000 €</w:t>
            </w:r>
          </w:p>
        </w:tc>
      </w:tr>
      <w:tr>
        <w:trPr>
          <w:cantSplit/>
        </w:trPr>
        <w:tc>
          <w:tcPr>
            <w:tcW w:type="dxa" w:w="720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TOTAL</w:t>
            </w:r>
          </w:p>
        </w:tc>
        <w:tc>
          <w:tcPr>
            <w:tcW w:type="dxa" w:w="316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~6.700–19.250 €/año</w:t>
            </w:r>
          </w:p>
        </w:tc>
      </w:tr>
    </w:tbl>
    <w:p>
      <w:pPr>
        <w:spacing w:after="80"/>
      </w:pPr>
    </w:p>
    <w:p>
      <w:pPr>
        <w:keepNext/>
        <w:spacing w:before="240" w:after="80"/>
      </w:pPr>
      <w:r>
        <w:rPr>
          <w:rFonts w:ascii="Segoe UI" w:hAnsi="Segoe UI"/>
          <w:b/>
          <w:color w:val="134074"/>
          <w:sz w:val="23"/>
        </w:rPr>
        <w:t>7.3. Punto de equilibrio</w:t>
      </w:r>
    </w:p>
    <w:tbl>
      <w:tblPr>
        <w:tblW w:type="auto" w:w="0"/>
        <w:jc w:val="center"/>
        <w:tblLayout w:type="fixed"/>
        <w:tblLook w:firstColumn="1" w:firstRow="1" w:lastColumn="0" w:lastRow="0" w:noHBand="0" w:noVBand="1" w:val="04A0"/>
      </w:tblPr>
      <w:tblGrid>
        <w:gridCol w:w="9317"/>
      </w:tblGrid>
      <w:tr>
        <w:tc>
          <w:tcPr>
            <w:tcW w:type="dxa" w:w="9317"/>
            <w:shd w:fill="0F172A"/>
            <w:tcMar>
              <w:top w:w="100" w:type="dxa"/>
              <w:bottom w:w="100" w:type="dxa"/>
              <w:left w:w="140" w:type="dxa"/>
              <w:right w:w="140" w:type="dxa"/>
            </w:tcMar>
            <w:tcBorders>
              <w:top w:val="single" w:sz="6" w:space="0" w:color="334155"/>
              <w:left w:val="single" w:sz="6" w:space="0" w:color="334155"/>
              <w:bottom w:val="single" w:sz="6" w:space="0" w:color="334155"/>
              <w:right w:val="single" w:sz="6" w:space="0" w:color="334155"/>
            </w:tcBorders>
          </w:tcPr>
          <w:p>
            <w:pPr>
              <w:spacing w:after="20" w:before="0" w:line="252" w:lineRule="auto"/>
            </w:pPr>
            <w:r>
              <w:rPr>
                <w:rFonts w:ascii="Consolas" w:hAnsi="Consolas"/>
                <w:color w:val="E2E8F0"/>
                <w:sz w:val="17"/>
              </w:rPr>
              <w:t>Punto de equilibrio mensual = Costes fijos mensuales / Margen medio por cliente</w:t>
            </w:r>
          </w:p>
          <w:p>
            <w:pPr>
              <w:spacing w:after="20" w:before="0" w:line="252" w:lineRule="auto"/>
            </w:pPr>
            <w:r>
              <w:rPr>
                <w:rFonts w:ascii="Consolas" w:hAnsi="Consolas"/>
                <w:color w:val="E2E8F0"/>
                <w:sz w:val="17"/>
              </w:rPr>
            </w:r>
          </w:p>
          <w:p>
            <w:pPr>
              <w:spacing w:after="20" w:before="0" w:line="252" w:lineRule="auto"/>
            </w:pPr>
            <w:r>
              <w:rPr>
                <w:rFonts w:ascii="Consolas" w:hAnsi="Consolas"/>
                <w:color w:val="E2E8F0"/>
                <w:sz w:val="17"/>
              </w:rPr>
              <w:t>Costes fijos mensuales (escenario razonable): ~600–1.500 €/mes</w:t>
            </w:r>
          </w:p>
          <w:p>
            <w:pPr>
              <w:spacing w:after="20" w:before="0" w:line="252" w:lineRule="auto"/>
            </w:pPr>
            <w:r>
              <w:rPr>
                <w:rFonts w:ascii="Consolas" w:hAnsi="Consolas"/>
                <w:color w:val="E2E8F0"/>
                <w:sz w:val="17"/>
              </w:rPr>
            </w:r>
          </w:p>
          <w:p>
            <w:pPr>
              <w:spacing w:after="20" w:before="0" w:line="252" w:lineRule="auto"/>
            </w:pPr>
            <w:r>
              <w:rPr>
                <w:rFonts w:ascii="Consolas" w:hAnsi="Consolas"/>
                <w:color w:val="E2E8F0"/>
                <w:sz w:val="17"/>
              </w:rPr>
              <w:t>Escenario solo retail (15 €/mes):</w:t>
            </w:r>
          </w:p>
          <w:p>
            <w:pPr>
              <w:spacing w:after="20" w:before="0" w:line="252" w:lineRule="auto"/>
            </w:pPr>
            <w:r>
              <w:rPr>
                <w:rFonts w:ascii="Consolas" w:hAnsi="Consolas"/>
                <w:color w:val="E2E8F0"/>
                <w:sz w:val="17"/>
              </w:rPr>
              <w:t>→ Necesito 40–100 clientes de pago para cubrir costes básicos</w:t>
            </w:r>
          </w:p>
          <w:p>
            <w:pPr>
              <w:spacing w:after="20" w:before="0" w:line="252" w:lineRule="auto"/>
            </w:pPr>
            <w:r>
              <w:rPr>
                <w:rFonts w:ascii="Consolas" w:hAnsi="Consolas"/>
                <w:color w:val="E2E8F0"/>
                <w:sz w:val="17"/>
              </w:rPr>
            </w:r>
          </w:p>
          <w:p>
            <w:pPr>
              <w:spacing w:after="20" w:before="0" w:line="252" w:lineRule="auto"/>
            </w:pPr>
            <w:r>
              <w:rPr>
                <w:rFonts w:ascii="Consolas" w:hAnsi="Consolas"/>
                <w:color w:val="E2E8F0"/>
                <w:sz w:val="17"/>
              </w:rPr>
              <w:t>Escenario mixto (académico 300€/año + institucional 5.000€/año):</w:t>
            </w:r>
          </w:p>
          <w:p>
            <w:pPr>
              <w:spacing w:after="20" w:before="0" w:line="252" w:lineRule="auto"/>
            </w:pPr>
            <w:r>
              <w:rPr>
                <w:rFonts w:ascii="Consolas" w:hAnsi="Consolas"/>
                <w:color w:val="E2E8F0"/>
                <w:sz w:val="17"/>
              </w:rPr>
              <w:t>→ 2 licencias institucionales anuales = punto de equilibrio alcanzado</w:t>
            </w:r>
          </w:p>
          <w:p>
            <w:pPr>
              <w:spacing w:after="20" w:before="0" w:line="252" w:lineRule="auto"/>
            </w:pPr>
            <w:r>
              <w:rPr>
                <w:rFonts w:ascii="Consolas" w:hAnsi="Consolas"/>
                <w:color w:val="E2E8F0"/>
                <w:sz w:val="17"/>
              </w:rPr>
              <w:t>→ 10 licencias académicas = punto de equilibrio alcanzado</w:t>
            </w:r>
          </w:p>
          <w:p>
            <w:pPr>
              <w:spacing w:after="20" w:before="0" w:line="252" w:lineRule="auto"/>
            </w:pPr>
            <w:r>
              <w:rPr>
                <w:rFonts w:ascii="Consolas" w:hAnsi="Consolas"/>
                <w:color w:val="E2E8F0"/>
                <w:sz w:val="17"/>
              </w:rPr>
            </w:r>
          </w:p>
          <w:p>
            <w:pPr>
              <w:spacing w:after="20" w:before="0" w:line="252" w:lineRule="auto"/>
            </w:pPr>
            <w:r>
              <w:rPr>
                <w:rFonts w:ascii="Consolas" w:hAnsi="Consolas"/>
                <w:color w:val="E2E8F0"/>
                <w:sz w:val="17"/>
              </w:rPr>
              <w:t>Escenario realista año 1:</w:t>
            </w:r>
          </w:p>
          <w:p>
            <w:pPr>
              <w:spacing w:after="20" w:before="0" w:line="252" w:lineRule="auto"/>
            </w:pPr>
            <w:r>
              <w:rPr>
                <w:rFonts w:ascii="Consolas" w:hAnsi="Consolas"/>
                <w:color w:val="E2E8F0"/>
                <w:sz w:val="17"/>
              </w:rPr>
              <w:t>→ Objetivo: 3-5 licencias académicas o piloto + 1 institucional</w:t>
            </w:r>
          </w:p>
          <w:p>
            <w:pPr>
              <w:spacing w:after="20" w:before="0" w:line="252" w:lineRule="auto"/>
            </w:pPr>
            <w:r>
              <w:rPr>
                <w:rFonts w:ascii="Consolas" w:hAnsi="Consolas"/>
                <w:color w:val="E2E8F0"/>
                <w:sz w:val="17"/>
              </w:rPr>
              <w:t>→ Facturación objetivo mínima: 5.000–15.000 €</w:t>
            </w:r>
          </w:p>
          <w:p>
            <w:pPr>
              <w:spacing w:after="20" w:before="0" w:line="252" w:lineRule="auto"/>
            </w:pPr>
            <w:r>
              <w:rPr>
                <w:rFonts w:ascii="Consolas" w:hAnsi="Consolas"/>
                <w:color w:val="E2E8F0"/>
                <w:sz w:val="17"/>
              </w:rPr>
              <w:t>→ No se espera beneficio en año 1: reinversión total</w:t>
            </w:r>
          </w:p>
        </w:tc>
      </w:tr>
    </w:tbl>
    <w:p>
      <w:pPr>
        <w:spacing w:after="80"/>
      </w:pPr>
    </w:p>
    <w:tbl>
      <w:tblPr>
        <w:tblW w:type="auto" w:w="0"/>
        <w:jc w:val="center"/>
        <w:tblLayout w:type="fixed"/>
        <w:tblLook w:firstColumn="1" w:firstRow="1" w:lastColumn="0" w:lastRow="0" w:noHBand="0" w:noVBand="1" w:val="04A0"/>
      </w:tblPr>
      <w:tblGrid>
        <w:gridCol w:w="9317"/>
      </w:tblGrid>
      <w:tr>
        <w:tc>
          <w:tcPr>
            <w:tcW w:type="dxa" w:w="9317"/>
            <w:shd w:fill="F0F4F8"/>
            <w:tcMar>
              <w:top w:w="120" w:type="dxa"/>
              <w:bottom w:w="120" w:type="dxa"/>
              <w:left w:w="180" w:type="dxa"/>
              <w:right w:w="160" w:type="dxa"/>
            </w:tcMar>
            <w:tcBorders>
              <w:top w:val="none" w:sz="24" w:space="0" w:color="134074"/>
              <w:left w:val="single" w:sz="24" w:space="0" w:color="134074"/>
              <w:bottom w:val="none" w:sz="24" w:space="0" w:color="134074"/>
              <w:right w:val="none" w:sz="24" w:space="0" w:color="134074"/>
            </w:tcBorders>
          </w:tcPr>
          <w:p>
            <w:pPr>
              <w:spacing w:after="0" w:before="0" w:line="276" w:lineRule="auto"/>
            </w:pPr>
            <w:r>
              <w:rPr>
                <w:rFonts w:ascii="Segoe UI" w:hAnsi="Segoe UI"/>
                <w:b/>
                <w:color w:val="0B2545"/>
                <w:sz w:val="19"/>
              </w:rPr>
              <w:t>Nota</w:t>
              <w:br/>
            </w:r>
            <w:r>
              <w:rPr>
                <w:rFonts w:ascii="Segoe UI" w:hAnsi="Segoe UI"/>
                <w:color w:val="1F2937"/>
                <w:sz w:val="18"/>
              </w:rPr>
              <w:t>Una estrategia caritativa (acceso gratuito máximo) no es gratuita para la empresa. Alguien financia la infraestructura, el tiempo del fundador y el mantenimiento. La capa institucional es el mecanismo que financia la gratuidad de la capa pública.</w:t>
            </w:r>
          </w:p>
        </w:tc>
      </w:tr>
    </w:tbl>
    <w:p>
      <w:pPr>
        <w:spacing w:before="0" w:after="80"/>
      </w:pPr>
    </w:p>
    <w:p>
      <w:pPr>
        <w:keepNext/>
        <w:spacing w:before="240" w:after="80"/>
      </w:pPr>
      <w:r>
        <w:rPr>
          <w:rFonts w:ascii="Segoe UI" w:hAnsi="Segoe UI"/>
          <w:b/>
          <w:color w:val="134074"/>
          <w:sz w:val="23"/>
        </w:rPr>
        <w:t>7.4. Plan de inclusión financiera (Luminic Finance)</w:t>
      </w:r>
    </w:p>
    <w:tbl>
      <w:tblPr>
        <w:tblW w:type="auto" w:w="0"/>
        <w:jc w:val="center"/>
        <w:tblLayout w:type="fixed"/>
        <w:tblLook w:firstColumn="1" w:firstRow="1" w:lastColumn="0" w:lastRow="0" w:noHBand="0" w:noVBand="1" w:val="04A0"/>
      </w:tblPr>
      <w:tblGrid>
        <w:gridCol w:w="3106"/>
        <w:gridCol w:w="3106"/>
        <w:gridCol w:w="3106"/>
      </w:tblGrid>
      <w:tr>
        <w:trPr>
          <w:tblHeader/>
          <w:cantSplit/>
        </w:trPr>
        <w:tc>
          <w:tcPr>
            <w:tcW w:type="dxa" w:w="259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Nivel</w:t>
            </w:r>
          </w:p>
        </w:tc>
        <w:tc>
          <w:tcPr>
            <w:tcW w:type="dxa" w:w="3888"/>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Criterio</w:t>
            </w:r>
          </w:p>
        </w:tc>
        <w:tc>
          <w:tcPr>
            <w:tcW w:type="dxa" w:w="3888"/>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Acceso</w:t>
            </w:r>
          </w:p>
        </w:tc>
      </w:tr>
      <w:tr>
        <w:trPr>
          <w:cantSplit/>
        </w:trPr>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Gratuito universal</w:t>
            </w:r>
          </w:p>
        </w:tc>
        <w:tc>
          <w:tcPr>
            <w:tcW w:type="dxa" w:w="388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Cualquier usuario registrado</w:t>
            </w:r>
          </w:p>
        </w:tc>
        <w:tc>
          <w:tcPr>
            <w:tcW w:type="dxa" w:w="388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Portal básico permanente</w:t>
            </w:r>
          </w:p>
        </w:tc>
      </w:tr>
      <w:tr>
        <w:trPr>
          <w:cantSplit/>
        </w:trPr>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Beca por mérito académico</w:t>
            </w:r>
          </w:p>
        </w:tc>
        <w:tc>
          <w:tcPr>
            <w:tcW w:type="dxa" w:w="388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Presentación de matrícula + solicitud</w:t>
            </w:r>
          </w:p>
        </w:tc>
        <w:tc>
          <w:tcPr>
            <w:tcW w:type="dxa" w:w="388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Acceso completo 1 año</w:t>
            </w:r>
          </w:p>
        </w:tc>
      </w:tr>
      <w:tr>
        <w:trPr>
          <w:cantSplit/>
        </w:trPr>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Beca por desempleo</w:t>
            </w:r>
          </w:p>
        </w:tc>
        <w:tc>
          <w:tcPr>
            <w:tcW w:type="dxa" w:w="388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Acreditación SEPE + solicitud</w:t>
            </w:r>
          </w:p>
        </w:tc>
        <w:tc>
          <w:tcPr>
            <w:tcW w:type="dxa" w:w="388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Acceso completo 6 meses</w:t>
            </w:r>
          </w:p>
        </w:tc>
      </w:tr>
      <w:tr>
        <w:trPr>
          <w:cantSplit/>
        </w:trPr>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Beca de colaboración</w:t>
            </w:r>
          </w:p>
        </w:tc>
        <w:tc>
          <w:tcPr>
            <w:tcW w:type="dxa" w:w="388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Participar en validación de datos (revisión humana voluntaria)</w:t>
            </w:r>
          </w:p>
        </w:tc>
        <w:tc>
          <w:tcPr>
            <w:tcW w:type="dxa" w:w="388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Acceso completo</w:t>
            </w:r>
          </w:p>
        </w:tc>
      </w:tr>
      <w:tr>
        <w:trPr>
          <w:cantSplit/>
        </w:trPr>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Destacados</w:t>
            </w:r>
          </w:p>
        </w:tc>
        <w:tc>
          <w:tcPr>
            <w:tcW w:type="dxa" w:w="388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Selección por rendimiento en cursos</w:t>
            </w:r>
          </w:p>
        </w:tc>
        <w:tc>
          <w:tcPr>
            <w:tcW w:type="dxa" w:w="388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Oportunidad de colaboración remunerada</w:t>
            </w:r>
          </w:p>
        </w:tc>
      </w:tr>
    </w:tbl>
    <w:p>
      <w:pPr>
        <w:spacing w:after="80"/>
      </w:pPr>
    </w:p>
    <w:tbl>
      <w:tblPr>
        <w:tblW w:type="auto" w:w="0"/>
        <w:jc w:val="center"/>
        <w:tblLayout w:type="fixed"/>
        <w:tblLook w:firstColumn="1" w:firstRow="1" w:lastColumn="0" w:lastRow="0" w:noHBand="0" w:noVBand="1" w:val="04A0"/>
      </w:tblPr>
      <w:tblGrid>
        <w:gridCol w:w="9317"/>
      </w:tblGrid>
      <w:tr>
        <w:tc>
          <w:tcPr>
            <w:tcW w:type="dxa" w:w="9317"/>
            <w:shd w:fill="F0F4F8"/>
            <w:tcMar>
              <w:top w:w="120" w:type="dxa"/>
              <w:bottom w:w="120" w:type="dxa"/>
              <w:left w:w="180" w:type="dxa"/>
              <w:right w:w="160" w:type="dxa"/>
            </w:tcMar>
            <w:tcBorders>
              <w:top w:val="none" w:sz="24" w:space="0" w:color="134074"/>
              <w:left w:val="single" w:sz="24" w:space="0" w:color="134074"/>
              <w:bottom w:val="none" w:sz="24" w:space="0" w:color="134074"/>
              <w:right w:val="none" w:sz="24" w:space="0" w:color="134074"/>
            </w:tcBorders>
          </w:tcPr>
          <w:p>
            <w:pPr>
              <w:spacing w:after="0" w:before="0" w:line="276" w:lineRule="auto"/>
            </w:pPr>
            <w:r>
              <w:rPr>
                <w:rFonts w:ascii="Segoe UI" w:hAnsi="Segoe UI"/>
                <w:b/>
                <w:color w:val="0B2545"/>
                <w:sz w:val="19"/>
              </w:rPr>
              <w:t>Aviso</w:t>
              <w:br/>
            </w:r>
            <w:r>
              <w:rPr>
                <w:rFonts w:ascii="Segoe UI" w:hAnsi="Segoe UI"/>
                <w:color w:val="1F2937"/>
                <w:sz w:val="18"/>
              </w:rPr>
              <w:t>El programa de becas no garantiza ni promete empleo. La selección para colaboraciones se realiza con criterios transparentes publicados y auditables. No se recogen datos personales más allá de los necesarios (RGPD).</w:t>
            </w:r>
          </w:p>
        </w:tc>
      </w:tr>
    </w:tbl>
    <w:p>
      <w:pPr>
        <w:spacing w:before="0" w:after="80"/>
      </w:pPr>
    </w:p>
    <w:p>
      <w:pPr>
        <w:keepNext/>
        <w:spacing w:before="320" w:after="120"/>
      </w:pPr>
      <w:r>
        <w:rPr>
          <w:rFonts w:ascii="Segoe UI" w:hAnsi="Segoe UI"/>
          <w:b/>
          <w:color w:val="0B2545"/>
          <w:sz w:val="28"/>
        </w:rPr>
        <w:t>CAPÍTULO 8. COLABORACIONES Y ECOSISTEMA</w:t>
      </w:r>
    </w:p>
    <w:p>
      <w:pPr>
        <w:keepNext/>
        <w:spacing w:before="240" w:after="80"/>
      </w:pPr>
      <w:r>
        <w:rPr>
          <w:rFonts w:ascii="Segoe UI" w:hAnsi="Segoe UI"/>
          <w:b/>
          <w:color w:val="134074"/>
          <w:sz w:val="23"/>
        </w:rPr>
        <w:t>8.1. Universidades: el motor de legitimidad y QA</w:t>
      </w:r>
    </w:p>
    <w:p>
      <w:pPr>
        <w:spacing w:after="80" w:before="0" w:line="276" w:lineRule="auto"/>
      </w:pPr>
      <w:r>
        <w:rPr>
          <w:rFonts w:ascii="Segoe UI" w:hAnsi="Segoe UI"/>
          <w:i w:val="0"/>
          <w:color w:val="1F2937"/>
          <w:sz w:val="19"/>
        </w:rPr>
        <w:t>La colaboración universitaria cumple dos funciones distintas:</w:t>
      </w:r>
    </w:p>
    <w:p>
      <w:pPr>
        <w:pStyle w:val="ListBullet"/>
        <w:spacing w:after="60" w:before="0" w:line="276" w:lineRule="auto"/>
        <w:ind w:left="360"/>
      </w:pPr>
      <w:r>
        <w:rPr>
          <w:rFonts w:ascii="Segoe UI" w:hAnsi="Segoe UI"/>
          <w:b/>
          <w:color w:val="1F2937"/>
          <w:sz w:val="19"/>
        </w:rPr>
        <w:t xml:space="preserve">Función académica: </w:t>
      </w:r>
      <w:r>
        <w:rPr>
          <w:rFonts w:ascii="Segoe UI" w:hAnsi="Segoe UI"/>
          <w:color w:val="1F2937"/>
          <w:sz w:val="19"/>
        </w:rPr>
        <w:t>Publicación de investigación con el rigor de una institución reconocida, acceso a datasets para investigadores, co-autoría en papers y posibilidad de TFMs/TFGs sobre los datos de la plataforma.</w:t>
      </w:r>
    </w:p>
    <w:p>
      <w:pPr>
        <w:pStyle w:val="ListBullet"/>
        <w:spacing w:after="60" w:before="0" w:line="276" w:lineRule="auto"/>
        <w:ind w:left="360"/>
      </w:pPr>
      <w:r>
        <w:rPr>
          <w:rFonts w:ascii="Segoe UI" w:hAnsi="Segoe UI"/>
          <w:b/>
          <w:color w:val="1F2937"/>
          <w:sz w:val="19"/>
        </w:rPr>
        <w:t xml:space="preserve">Función operativa: </w:t>
      </w:r>
      <w:r>
        <w:rPr>
          <w:rFonts w:ascii="Segoe UI" w:hAnsi="Segoe UI"/>
          <w:color w:val="1F2937"/>
          <w:sz w:val="19"/>
        </w:rPr>
        <w:t>Revisión humana de datos extraídos por estudiantes de último año supervisados, lo que permite escalar la capacidad de QA sin coste elevado. Esta colaboración debe formalizarse con convenio que aclare: propiedad intelectual, confidencialidad, supervisión, no comercialización directa por parte de los estudiantes y retribución simbólica o créditos académicos.</w:t>
      </w:r>
    </w:p>
    <w:p>
      <w:pPr>
        <w:spacing w:after="80" w:before="0" w:line="276" w:lineRule="auto"/>
      </w:pPr>
      <w:r>
        <w:rPr>
          <w:rFonts w:ascii="Segoe UI" w:hAnsi="Segoe UI"/>
          <w:i w:val="0"/>
          <w:color w:val="1F2937"/>
          <w:sz w:val="19"/>
        </w:rPr>
        <w:t>Tipos de colaboración a establecer:</w:t>
      </w:r>
    </w:p>
    <w:tbl>
      <w:tblPr>
        <w:tblW w:type="auto" w:w="0"/>
        <w:jc w:val="center"/>
        <w:tblLayout w:type="fixed"/>
        <w:tblLook w:firstColumn="1" w:firstRow="1" w:lastColumn="0" w:lastRow="0" w:noHBand="0" w:noVBand="1" w:val="04A0"/>
      </w:tblPr>
      <w:tblGrid>
        <w:gridCol w:w="3106"/>
        <w:gridCol w:w="3106"/>
        <w:gridCol w:w="3106"/>
      </w:tblGrid>
      <w:tr>
        <w:trPr>
          <w:tblHeader/>
          <w:cantSplit/>
        </w:trPr>
        <w:tc>
          <w:tcPr>
            <w:tcW w:type="dxa" w:w="259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Tipo</w:t>
            </w:r>
          </w:p>
        </w:tc>
        <w:tc>
          <w:tcPr>
            <w:tcW w:type="dxa" w:w="4608"/>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Mecanismo</w:t>
            </w:r>
          </w:p>
        </w:tc>
        <w:tc>
          <w:tcPr>
            <w:tcW w:type="dxa" w:w="3168"/>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Beneficio para STATER</w:t>
            </w:r>
          </w:p>
        </w:tc>
      </w:tr>
      <w:tr>
        <w:trPr>
          <w:cantSplit/>
        </w:trPr>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TFG/TFM</w:t>
            </w:r>
          </w:p>
        </w:tc>
        <w:tc>
          <w:tcPr>
            <w:tcW w:type="dxa" w:w="460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Estudiante trabaja con datos de la plataforma como caso de estudio</w:t>
            </w:r>
          </w:p>
        </w:tc>
        <w:tc>
          <w:tcPr>
            <w:tcW w:type="dxa" w:w="31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QA de sectores específicos</w:t>
            </w:r>
          </w:p>
        </w:tc>
      </w:tr>
      <w:tr>
        <w:trPr>
          <w:cantSplit/>
        </w:trPr>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Cátedra de empresa</w:t>
            </w:r>
          </w:p>
        </w:tc>
        <w:tc>
          <w:tcPr>
            <w:tcW w:type="dxa" w:w="460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Convenio con departamento de contabilidad/finanzas</w:t>
            </w:r>
          </w:p>
        </w:tc>
        <w:tc>
          <w:tcPr>
            <w:tcW w:type="dxa" w:w="316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Legitimidad, investigación conjunta</w:t>
            </w:r>
          </w:p>
        </w:tc>
      </w:tr>
      <w:tr>
        <w:trPr>
          <w:cantSplit/>
        </w:trPr>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Dataset académico</w:t>
            </w:r>
          </w:p>
        </w:tc>
        <w:tc>
          <w:tcPr>
            <w:tcW w:type="dxa" w:w="460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Licencia a precio reducido para uso investigador</w:t>
            </w:r>
          </w:p>
        </w:tc>
        <w:tc>
          <w:tcPr>
            <w:tcW w:type="dxa" w:w="31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Primeros clientes, referencias</w:t>
            </w:r>
          </w:p>
        </w:tc>
      </w:tr>
      <w:tr>
        <w:trPr>
          <w:cantSplit/>
        </w:trPr>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Laboratorio</w:t>
            </w:r>
          </w:p>
        </w:tc>
        <w:tc>
          <w:tcPr>
            <w:tcW w:type="dxa" w:w="460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Espacio conjunto de investigación en datos ESG y auditoría</w:t>
            </w:r>
          </w:p>
        </w:tc>
        <w:tc>
          <w:tcPr>
            <w:tcW w:type="dxa" w:w="316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Co-publicaciones</w:t>
            </w:r>
          </w:p>
        </w:tc>
      </w:tr>
    </w:tbl>
    <w:p>
      <w:pPr>
        <w:spacing w:after="80"/>
      </w:pPr>
    </w:p>
    <w:p>
      <w:pPr>
        <w:keepNext/>
        <w:spacing w:before="240" w:after="80"/>
      </w:pPr>
      <w:r>
        <w:rPr>
          <w:rFonts w:ascii="Segoe UI" w:hAnsi="Segoe UI"/>
          <w:b/>
          <w:color w:val="134074"/>
          <w:sz w:val="23"/>
        </w:rPr>
        <w:t>8.2. Créditos cloud para startups y proyectos de investigación</w:t>
      </w:r>
    </w:p>
    <w:p>
      <w:pPr>
        <w:keepNext/>
        <w:spacing w:before="120" w:after="80"/>
      </w:pPr>
      <w:r>
        <w:rPr>
          <w:rFonts w:ascii="Segoe UI" w:hAnsi="Segoe UI"/>
          <w:b/>
          <w:color w:val="134074"/>
          <w:sz w:val="16"/>
          <w:shd w:fill="EEF2F6"/>
        </w:rPr>
        <w:t xml:space="preserve"> HIPÓTESIS EMPRESARIAL — requiere verificación de programas vigentes </w:t>
      </w:r>
    </w:p>
    <w:tbl>
      <w:tblPr>
        <w:tblW w:type="auto" w:w="0"/>
        <w:jc w:val="center"/>
        <w:tblLayout w:type="fixed"/>
        <w:tblLook w:firstColumn="1" w:firstRow="1" w:lastColumn="0" w:lastRow="0" w:noHBand="0" w:noVBand="1" w:val="04A0"/>
      </w:tblPr>
      <w:tblGrid>
        <w:gridCol w:w="3106"/>
        <w:gridCol w:w="3106"/>
        <w:gridCol w:w="3106"/>
      </w:tblGrid>
      <w:tr>
        <w:trPr>
          <w:tblHeader/>
          <w:cantSplit/>
        </w:trPr>
        <w:tc>
          <w:tcPr>
            <w:tcW w:type="dxa" w:w="3456"/>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Programa</w:t>
            </w:r>
          </w:p>
        </w:tc>
        <w:tc>
          <w:tcPr>
            <w:tcW w:type="dxa" w:w="259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Créditos estimados</w:t>
            </w:r>
          </w:p>
        </w:tc>
        <w:tc>
          <w:tcPr>
            <w:tcW w:type="dxa" w:w="4320"/>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Condiciones habituales</w:t>
            </w:r>
          </w:p>
        </w:tc>
      </w:tr>
      <w:tr>
        <w:trPr>
          <w:cantSplit/>
        </w:trPr>
        <w:tc>
          <w:tcPr>
            <w:tcW w:type="dxa" w:w="345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AWS Activate (Startups)</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Hasta 100.000$</w:t>
            </w:r>
          </w:p>
        </w:tc>
        <w:tc>
          <w:tcPr>
            <w:tcW w:type="dxa" w:w="432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Requiere aval de aceleradora o VC</w:t>
            </w:r>
          </w:p>
        </w:tc>
      </w:tr>
      <w:tr>
        <w:trPr>
          <w:cantSplit/>
        </w:trPr>
        <w:tc>
          <w:tcPr>
            <w:tcW w:type="dxa" w:w="345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Google Cloud for Startups</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2.000–200.000$</w:t>
            </w:r>
          </w:p>
        </w:tc>
        <w:tc>
          <w:tcPr>
            <w:tcW w:type="dxa" w:w="432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Varios niveles según referencia</w:t>
            </w:r>
          </w:p>
        </w:tc>
      </w:tr>
      <w:tr>
        <w:trPr>
          <w:cantSplit/>
        </w:trPr>
        <w:tc>
          <w:tcPr>
            <w:tcW w:type="dxa" w:w="345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Microsoft for Startups (Founders Hub)</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Hasta 150.000$ en Azure</w:t>
            </w:r>
          </w:p>
        </w:tc>
        <w:tc>
          <w:tcPr>
            <w:tcW w:type="dxa" w:w="432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Solicitud directa</w:t>
            </w:r>
          </w:p>
        </w:tc>
      </w:tr>
      <w:tr>
        <w:trPr>
          <w:cantSplit/>
        </w:trPr>
        <w:tc>
          <w:tcPr>
            <w:tcW w:type="dxa" w:w="345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GitHub Education / Researcher</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Gratis GitHub Pro y herramientas</w:t>
            </w:r>
          </w:p>
        </w:tc>
        <w:tc>
          <w:tcPr>
            <w:tcW w:type="dxa" w:w="432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Verificación institucional</w:t>
            </w:r>
          </w:p>
        </w:tc>
      </w:tr>
      <w:tr>
        <w:trPr>
          <w:cantSplit/>
        </w:trPr>
        <w:tc>
          <w:tcPr>
            <w:tcW w:type="dxa" w:w="345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Hugging Face</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Espacio y modelos gratuitos</w:t>
            </w:r>
          </w:p>
        </w:tc>
        <w:tc>
          <w:tcPr>
            <w:tcW w:type="dxa" w:w="432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Uso académico y open source</w:t>
            </w:r>
          </w:p>
        </w:tc>
      </w:tr>
    </w:tbl>
    <w:p>
      <w:pPr>
        <w:spacing w:after="80"/>
      </w:pPr>
    </w:p>
    <w:p>
      <w:pPr>
        <w:spacing w:after="80" w:before="0" w:line="276" w:lineRule="auto"/>
      </w:pPr>
      <w:r>
        <w:rPr>
          <w:rFonts w:ascii="Segoe UI" w:hAnsi="Segoe UI"/>
          <w:i/>
          <w:color w:val="1F2937"/>
          <w:sz w:val="19"/>
        </w:rPr>
        <w:t>Nota: Los programas cambian condiciones frecuentemente. Verificar en las webs oficiales en el momento de la solicitud. No asumir que se concederán.</w:t>
      </w:r>
    </w:p>
    <w:p>
      <w:pPr>
        <w:keepNext/>
        <w:spacing w:before="240" w:after="80"/>
      </w:pPr>
      <w:r>
        <w:rPr>
          <w:rFonts w:ascii="Segoe UI" w:hAnsi="Segoe UI"/>
          <w:b/>
          <w:color w:val="134074"/>
          <w:sz w:val="23"/>
        </w:rPr>
        <w:t>8.3. Proveedores de datos complementarios</w:t>
      </w:r>
    </w:p>
    <w:p>
      <w:pPr>
        <w:spacing w:after="80" w:before="0" w:line="276" w:lineRule="auto"/>
      </w:pPr>
      <w:r>
        <w:rPr>
          <w:rFonts w:ascii="Segoe UI" w:hAnsi="Segoe UI"/>
          <w:i w:val="0"/>
          <w:color w:val="1F2937"/>
          <w:sz w:val="19"/>
        </w:rPr>
        <w:t>Si en fases avanzadas se decide complementar los datos propios con feeds comerciales, las opciones más accesibles (no institucionales) son:</w:t>
      </w:r>
    </w:p>
    <w:tbl>
      <w:tblPr>
        <w:tblW w:type="auto" w:w="0"/>
        <w:jc w:val="center"/>
        <w:tblLayout w:type="fixed"/>
        <w:tblLook w:firstColumn="1" w:firstRow="1" w:lastColumn="0" w:lastRow="0" w:noHBand="0" w:noVBand="1" w:val="04A0"/>
      </w:tblPr>
      <w:tblGrid>
        <w:gridCol w:w="3106"/>
        <w:gridCol w:w="3106"/>
        <w:gridCol w:w="3106"/>
      </w:tblGrid>
      <w:tr>
        <w:trPr>
          <w:tblHeader/>
          <w:cantSplit/>
        </w:trPr>
        <w:tc>
          <w:tcPr>
            <w:tcW w:type="dxa" w:w="2880"/>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Proveedor</w:t>
            </w:r>
          </w:p>
        </w:tc>
        <w:tc>
          <w:tcPr>
            <w:tcW w:type="dxa" w:w="3744"/>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Qué aporta</w:t>
            </w:r>
          </w:p>
        </w:tc>
        <w:tc>
          <w:tcPr>
            <w:tcW w:type="dxa" w:w="3744"/>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Riesgo de licencia</w:t>
            </w:r>
          </w:p>
        </w:tc>
      </w:tr>
      <w:tr>
        <w:trPr>
          <w:cantSplit/>
        </w:trPr>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EODHD</w:t>
            </w:r>
          </w:p>
        </w:tc>
        <w:tc>
          <w:tcPr>
            <w:tcW w:type="dxa" w:w="3744"/>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Fundamentales, precios, eventos</w:t>
            </w:r>
          </w:p>
        </w:tc>
        <w:tc>
          <w:tcPr>
            <w:tcW w:type="dxa" w:w="3744"/>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Redistribución limitada según plan</w:t>
            </w:r>
          </w:p>
        </w:tc>
      </w:tr>
      <w:tr>
        <w:trPr>
          <w:cantSplit/>
        </w:trPr>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Financial Modeling Prep (FMP)</w:t>
            </w:r>
          </w:p>
        </w:tc>
        <w:tc>
          <w:tcPr>
            <w:tcW w:type="dxa" w:w="3744"/>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API de fundamentales globales</w:t>
            </w:r>
          </w:p>
        </w:tc>
        <w:tc>
          <w:tcPr>
            <w:tcW w:type="dxa" w:w="3744"/>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No permite redistribución sin licencia</w:t>
            </w:r>
          </w:p>
        </w:tc>
      </w:tr>
      <w:tr>
        <w:trPr>
          <w:cantSplit/>
        </w:trPr>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Bavest</w:t>
            </w:r>
          </w:p>
        </w:tc>
        <w:tc>
          <w:tcPr>
            <w:tcW w:type="dxa" w:w="3744"/>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Datos financieros y ESG europeos</w:t>
            </w:r>
          </w:p>
        </w:tc>
        <w:tc>
          <w:tcPr>
            <w:tcW w:type="dxa" w:w="3744"/>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Verificar en contrato</w:t>
            </w:r>
          </w:p>
        </w:tc>
      </w:tr>
      <w:tr>
        <w:trPr>
          <w:cantSplit/>
        </w:trPr>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SimFin</w:t>
            </w:r>
          </w:p>
        </w:tc>
        <w:tc>
          <w:tcPr>
            <w:tcW w:type="dxa" w:w="3744"/>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Fundamentales estructurados, académico</w:t>
            </w:r>
          </w:p>
        </w:tc>
        <w:tc>
          <w:tcPr>
            <w:tcW w:type="dxa" w:w="3744"/>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Gratuito académico, no redistribución</w:t>
            </w:r>
          </w:p>
        </w:tc>
      </w:tr>
      <w:tr>
        <w:trPr>
          <w:cantSplit/>
        </w:trPr>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filings.xbrl.org API</w:t>
            </w:r>
          </w:p>
        </w:tc>
        <w:tc>
          <w:tcPr>
            <w:tcW w:type="dxa" w:w="3744"/>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Filings ESEF</w:t>
            </w:r>
          </w:p>
        </w:tc>
        <w:tc>
          <w:tcPr>
            <w:tcW w:type="dxa" w:w="3744"/>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Open pero verificar T&amp;Cs comerciales</w:t>
            </w:r>
          </w:p>
        </w:tc>
      </w:tr>
      <w:tr>
        <w:trPr>
          <w:cantSplit/>
        </w:trPr>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GLEIF</w:t>
            </w:r>
          </w:p>
        </w:tc>
        <w:tc>
          <w:tcPr>
            <w:tcW w:type="dxa" w:w="3744"/>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LEI + entidades</w:t>
            </w:r>
          </w:p>
        </w:tc>
        <w:tc>
          <w:tcPr>
            <w:tcW w:type="dxa" w:w="3744"/>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CC-BY 4.0, redistribución libre</w:t>
            </w:r>
          </w:p>
        </w:tc>
      </w:tr>
    </w:tbl>
    <w:p>
      <w:pPr>
        <w:spacing w:after="80"/>
      </w:pPr>
    </w:p>
    <w:tbl>
      <w:tblPr>
        <w:tblW w:type="auto" w:w="0"/>
        <w:jc w:val="center"/>
        <w:tblLayout w:type="fixed"/>
        <w:tblLook w:firstColumn="1" w:firstRow="1" w:lastColumn="0" w:lastRow="0" w:noHBand="0" w:noVBand="1" w:val="04A0"/>
      </w:tblPr>
      <w:tblGrid>
        <w:gridCol w:w="9317"/>
      </w:tblGrid>
      <w:tr>
        <w:tc>
          <w:tcPr>
            <w:tcW w:type="dxa" w:w="9317"/>
            <w:shd w:fill="F0F4F8"/>
            <w:tcMar>
              <w:top w:w="120" w:type="dxa"/>
              <w:bottom w:w="120" w:type="dxa"/>
              <w:left w:w="180" w:type="dxa"/>
              <w:right w:w="160" w:type="dxa"/>
            </w:tcMar>
            <w:tcBorders>
              <w:top w:val="none" w:sz="24" w:space="0" w:color="134074"/>
              <w:left w:val="single" w:sz="24" w:space="0" w:color="134074"/>
              <w:bottom w:val="none" w:sz="24" w:space="0" w:color="134074"/>
              <w:right w:val="none" w:sz="24" w:space="0" w:color="134074"/>
            </w:tcBorders>
          </w:tcPr>
          <w:p>
            <w:pPr>
              <w:spacing w:after="0" w:before="0" w:line="276" w:lineRule="auto"/>
            </w:pPr>
            <w:r>
              <w:rPr>
                <w:rFonts w:ascii="Segoe UI" w:hAnsi="Segoe UI"/>
                <w:b/>
                <w:color w:val="0B2545"/>
                <w:sz w:val="19"/>
              </w:rPr>
              <w:t>Recomendación</w:t>
              <w:br/>
            </w:r>
            <w:r>
              <w:rPr>
                <w:rFonts w:ascii="Segoe UI" w:hAnsi="Segoe UI"/>
                <w:color w:val="1F2937"/>
                <w:sz w:val="18"/>
              </w:rPr>
              <w:t>En la fase inicial, priorizar fuentes abiertas (GLEIF, ESAP, OAMs) y construir el pipeline propio. Introducir proveedores de pago solo cuando sea necesario y después de revisar los términos de redistribución con asesor jurídico.</w:t>
            </w:r>
          </w:p>
        </w:tc>
      </w:tr>
    </w:tbl>
    <w:p>
      <w:pPr>
        <w:spacing w:before="0" w:after="80"/>
      </w:pPr>
    </w:p>
    <w:p>
      <w:pPr>
        <w:keepNext/>
        <w:spacing w:before="320" w:after="120"/>
      </w:pPr>
      <w:r>
        <w:rPr>
          <w:rFonts w:ascii="Segoe UI" w:hAnsi="Segoe UI"/>
          <w:b/>
          <w:color w:val="0B2545"/>
          <w:sz w:val="28"/>
        </w:rPr>
        <w:t>CAPÍTULO 9. TFM: INTEGRACIÓN DEL ESTUDIO USA + EUROPA</w:t>
      </w:r>
    </w:p>
    <w:p>
      <w:pPr>
        <w:keepNext/>
        <w:spacing w:before="240" w:after="80"/>
      </w:pPr>
      <w:r>
        <w:rPr>
          <w:rFonts w:ascii="Segoe UI" w:hAnsi="Segoe UI"/>
          <w:b/>
          <w:color w:val="134074"/>
          <w:sz w:val="23"/>
        </w:rPr>
        <w:t>9.1. Estructura propuesta para el trabajo académico comparativo</w:t>
      </w:r>
    </w:p>
    <w:p>
      <w:pPr>
        <w:spacing w:after="80" w:before="0" w:line="276" w:lineRule="auto"/>
      </w:pPr>
      <w:r>
        <w:rPr>
          <w:rFonts w:ascii="Segoe UI" w:hAnsi="Segoe UI"/>
          <w:i w:val="0"/>
          <w:color w:val="1F2937"/>
          <w:sz w:val="19"/>
        </w:rPr>
        <w:t>El fundador ha confirmado que desea integrar el trabajo sobre el mercado estadounidense (CAM/KPIs ESG/Rating) con el estudio europeo (KAM ISA 701 / CSRD / ESRS) en un único proyecto académico comparativo.</w:t>
      </w:r>
    </w:p>
    <w:p>
      <w:pPr>
        <w:spacing w:after="80" w:before="0" w:line="276" w:lineRule="auto"/>
      </w:pPr>
      <w:r>
        <w:rPr>
          <w:rFonts w:ascii="Segoe UI" w:hAnsi="Segoe UI"/>
          <w:i w:val="0"/>
          <w:color w:val="1F2937"/>
          <w:sz w:val="19"/>
        </w:rPr>
        <w:t>Título propuesto:</w:t>
      </w:r>
    </w:p>
    <w:p>
      <w:pPr>
        <w:spacing w:after="80" w:before="0" w:line="276" w:lineRule="auto"/>
      </w:pPr>
      <w:r>
        <w:rPr>
          <w:rFonts w:ascii="Segoe UI" w:hAnsi="Segoe UI"/>
          <w:i/>
          <w:color w:val="1F2937"/>
          <w:sz w:val="19"/>
        </w:rPr>
        <w:t>"Asimetrías en la divulgación de riesgos de auditoría y sostenibilidad: análisis comparado de Critical Audit Matters (PCAOB) y Key Audit Matters (ISA 701) en los mercados cotizados de EE.UU. y Europa (2019–2025)"</w:t>
      </w:r>
    </w:p>
    <w:p>
      <w:pPr>
        <w:spacing w:after="80" w:before="0" w:line="276" w:lineRule="auto"/>
      </w:pPr>
      <w:r>
        <w:rPr>
          <w:rFonts w:ascii="Segoe UI" w:hAnsi="Segoe UI"/>
          <w:i w:val="0"/>
          <w:color w:val="1F2937"/>
          <w:sz w:val="19"/>
        </w:rPr>
        <w:t>Estructura capitular sugerida:</w:t>
      </w:r>
    </w:p>
    <w:tbl>
      <w:tblPr>
        <w:tblW w:type="auto" w:w="0"/>
        <w:jc w:val="center"/>
        <w:tblLayout w:type="fixed"/>
        <w:tblLook w:firstColumn="1" w:firstRow="1" w:lastColumn="0" w:lastRow="0" w:noHBand="0" w:noVBand="1" w:val="04A0"/>
      </w:tblPr>
      <w:tblGrid>
        <w:gridCol w:w="9317"/>
      </w:tblGrid>
      <w:tr>
        <w:tc>
          <w:tcPr>
            <w:tcW w:type="dxa" w:w="9317"/>
            <w:shd w:fill="0F172A"/>
            <w:tcMar>
              <w:top w:w="100" w:type="dxa"/>
              <w:bottom w:w="100" w:type="dxa"/>
              <w:left w:w="140" w:type="dxa"/>
              <w:right w:w="140" w:type="dxa"/>
            </w:tcMar>
            <w:tcBorders>
              <w:top w:val="single" w:sz="6" w:space="0" w:color="334155"/>
              <w:left w:val="single" w:sz="6" w:space="0" w:color="334155"/>
              <w:bottom w:val="single" w:sz="6" w:space="0" w:color="334155"/>
              <w:right w:val="single" w:sz="6" w:space="0" w:color="334155"/>
            </w:tcBorders>
          </w:tcPr>
          <w:p>
            <w:pPr>
              <w:spacing w:after="20" w:before="0" w:line="252" w:lineRule="auto"/>
            </w:pPr>
            <w:r>
              <w:rPr>
                <w:rFonts w:ascii="Consolas" w:hAnsi="Consolas"/>
                <w:color w:val="E2E8F0"/>
                <w:sz w:val="17"/>
              </w:rPr>
              <w:t>Capítulo 1: Marco regulatorio comparado</w:t>
            </w:r>
          </w:p>
          <w:p>
            <w:pPr>
              <w:spacing w:after="20" w:before="0" w:line="252" w:lineRule="auto"/>
            </w:pPr>
            <w:r>
              <w:rPr>
                <w:rFonts w:ascii="Consolas" w:hAnsi="Consolas"/>
                <w:color w:val="E2E8F0"/>
                <w:sz w:val="17"/>
              </w:rPr>
              <w:t xml:space="preserve">  1.1. PCAOB AS 3101 (CAM) — ámbito, calendario, estructura</w:t>
            </w:r>
          </w:p>
          <w:p>
            <w:pPr>
              <w:spacing w:after="20" w:before="0" w:line="252" w:lineRule="auto"/>
            </w:pPr>
            <w:r>
              <w:rPr>
                <w:rFonts w:ascii="Consolas" w:hAnsi="Consolas"/>
                <w:color w:val="E2E8F0"/>
                <w:sz w:val="17"/>
              </w:rPr>
              <w:t xml:space="preserve">  1.2. ISA 701 (KAM) — ámbito, calendario, estructura</w:t>
            </w:r>
          </w:p>
          <w:p>
            <w:pPr>
              <w:spacing w:after="20" w:before="0" w:line="252" w:lineRule="auto"/>
            </w:pPr>
            <w:r>
              <w:rPr>
                <w:rFonts w:ascii="Consolas" w:hAnsi="Consolas"/>
                <w:color w:val="E2E8F0"/>
                <w:sz w:val="17"/>
              </w:rPr>
              <w:t xml:space="preserve">  1.3. Diferencias metodológicas: definición, umbral, presentación</w:t>
            </w:r>
          </w:p>
          <w:p>
            <w:pPr>
              <w:spacing w:after="20" w:before="0" w:line="252" w:lineRule="auto"/>
            </w:pPr>
            <w:r>
              <w:rPr>
                <w:rFonts w:ascii="Consolas" w:hAnsi="Consolas"/>
                <w:color w:val="E2E8F0"/>
                <w:sz w:val="17"/>
              </w:rPr>
              <w:t xml:space="preserve">  1.4. CSRD/ESRS vs. SEC ESG Disclosure Rules</w:t>
            </w:r>
          </w:p>
          <w:p>
            <w:pPr>
              <w:spacing w:after="20" w:before="0" w:line="252" w:lineRule="auto"/>
            </w:pPr>
            <w:r>
              <w:rPr>
                <w:rFonts w:ascii="Consolas" w:hAnsi="Consolas"/>
                <w:color w:val="E2E8F0"/>
                <w:sz w:val="17"/>
              </w:rPr>
              <w:t xml:space="preserve">  1.5. ESEF (Europa) vs. EDGAR XBRL (EE.UU.)</w:t>
            </w:r>
          </w:p>
          <w:p>
            <w:pPr>
              <w:spacing w:after="20" w:before="0" w:line="252" w:lineRule="auto"/>
            </w:pPr>
            <w:r>
              <w:rPr>
                <w:rFonts w:ascii="Consolas" w:hAnsi="Consolas"/>
                <w:color w:val="E2E8F0"/>
                <w:sz w:val="17"/>
              </w:rPr>
            </w:r>
          </w:p>
          <w:p>
            <w:pPr>
              <w:spacing w:after="20" w:before="0" w:line="252" w:lineRule="auto"/>
            </w:pPr>
            <w:r>
              <w:rPr>
                <w:rFonts w:ascii="Consolas" w:hAnsi="Consolas"/>
                <w:color w:val="E2E8F0"/>
                <w:sz w:val="17"/>
              </w:rPr>
              <w:t>Capítulo 2: Datos y metodología</w:t>
            </w:r>
          </w:p>
          <w:p>
            <w:pPr>
              <w:spacing w:after="20" w:before="0" w:line="252" w:lineRule="auto"/>
            </w:pPr>
            <w:r>
              <w:rPr>
                <w:rFonts w:ascii="Consolas" w:hAnsi="Consolas"/>
                <w:color w:val="E2E8F0"/>
                <w:sz w:val="17"/>
              </w:rPr>
              <w:t xml:space="preserve">  2.1. Universo EE.UU.: muestra SEC EDGAR (CAM extraídos)</w:t>
            </w:r>
          </w:p>
          <w:p>
            <w:pPr>
              <w:spacing w:after="20" w:before="0" w:line="252" w:lineRule="auto"/>
            </w:pPr>
            <w:r>
              <w:rPr>
                <w:rFonts w:ascii="Consolas" w:hAnsi="Consolas"/>
                <w:color w:val="E2E8F0"/>
                <w:sz w:val="17"/>
              </w:rPr>
              <w:t xml:space="preserve">  2.2. Universo europeo: muestra 5 países OAMs (KAM extraídos)</w:t>
            </w:r>
          </w:p>
          <w:p>
            <w:pPr>
              <w:spacing w:after="20" w:before="0" w:line="252" w:lineRule="auto"/>
            </w:pPr>
            <w:r>
              <w:rPr>
                <w:rFonts w:ascii="Consolas" w:hAnsi="Consolas"/>
                <w:color w:val="E2E8F0"/>
                <w:sz w:val="17"/>
              </w:rPr>
              <w:t xml:space="preserve">  2.3. Pipeline de extracción y validación (describir nuestra metodología)</w:t>
            </w:r>
          </w:p>
          <w:p>
            <w:pPr>
              <w:spacing w:after="20" w:before="0" w:line="252" w:lineRule="auto"/>
            </w:pPr>
            <w:r>
              <w:rPr>
                <w:rFonts w:ascii="Consolas" w:hAnsi="Consolas"/>
                <w:color w:val="E2E8F0"/>
                <w:sz w:val="17"/>
              </w:rPr>
              <w:t xml:space="preserve">  2.4. Variables de análisis y control</w:t>
            </w:r>
          </w:p>
          <w:p>
            <w:pPr>
              <w:spacing w:after="20" w:before="0" w:line="252" w:lineRule="auto"/>
            </w:pPr>
            <w:r>
              <w:rPr>
                <w:rFonts w:ascii="Consolas" w:hAnsi="Consolas"/>
                <w:color w:val="E2E8F0"/>
                <w:sz w:val="17"/>
              </w:rPr>
              <w:t xml:space="preserve">  2.5. Limitaciones de datos</w:t>
            </w:r>
          </w:p>
          <w:p>
            <w:pPr>
              <w:spacing w:after="20" w:before="0" w:line="252" w:lineRule="auto"/>
            </w:pPr>
            <w:r>
              <w:rPr>
                <w:rFonts w:ascii="Consolas" w:hAnsi="Consolas"/>
                <w:color w:val="E2E8F0"/>
                <w:sz w:val="17"/>
              </w:rPr>
            </w:r>
          </w:p>
          <w:p>
            <w:pPr>
              <w:spacing w:after="20" w:before="0" w:line="252" w:lineRule="auto"/>
            </w:pPr>
            <w:r>
              <w:rPr>
                <w:rFonts w:ascii="Consolas" w:hAnsi="Consolas"/>
                <w:color w:val="E2E8F0"/>
                <w:sz w:val="17"/>
              </w:rPr>
              <w:t>Capítulo 3: Análisis de riesgos de auditoría</w:t>
            </w:r>
          </w:p>
          <w:p>
            <w:pPr>
              <w:spacing w:after="20" w:before="0" w:line="252" w:lineRule="auto"/>
            </w:pPr>
            <w:r>
              <w:rPr>
                <w:rFonts w:ascii="Consolas" w:hAnsi="Consolas"/>
                <w:color w:val="E2E8F0"/>
                <w:sz w:val="17"/>
              </w:rPr>
              <w:t xml:space="preserve">  3.1. Tipología y frecuencia de CAM/KAM por sector</w:t>
            </w:r>
          </w:p>
          <w:p>
            <w:pPr>
              <w:spacing w:after="20" w:before="0" w:line="252" w:lineRule="auto"/>
            </w:pPr>
            <w:r>
              <w:rPr>
                <w:rFonts w:ascii="Consolas" w:hAnsi="Consolas"/>
                <w:color w:val="E2E8F0"/>
                <w:sz w:val="17"/>
              </w:rPr>
              <w:t xml:space="preserve">  3.2. Evolución temporal 2019-2025</w:t>
            </w:r>
          </w:p>
          <w:p>
            <w:pPr>
              <w:spacing w:after="20" w:before="0" w:line="252" w:lineRule="auto"/>
            </w:pPr>
            <w:r>
              <w:rPr>
                <w:rFonts w:ascii="Consolas" w:hAnsi="Consolas"/>
                <w:color w:val="E2E8F0"/>
                <w:sz w:val="17"/>
              </w:rPr>
              <w:t xml:space="preserve">  3.3. Diferencias EE.UU. vs. Europa</w:t>
            </w:r>
          </w:p>
          <w:p>
            <w:pPr>
              <w:spacing w:after="20" w:before="0" w:line="252" w:lineRule="auto"/>
            </w:pPr>
            <w:r>
              <w:rPr>
                <w:rFonts w:ascii="Consolas" w:hAnsi="Consolas"/>
                <w:color w:val="E2E8F0"/>
                <w:sz w:val="17"/>
              </w:rPr>
              <w:t xml:space="preserve">  3.4. Relación entre KAM y posteriores eventos contables</w:t>
            </w:r>
          </w:p>
          <w:p>
            <w:pPr>
              <w:spacing w:after="20" w:before="0" w:line="252" w:lineRule="auto"/>
            </w:pPr>
            <w:r>
              <w:rPr>
                <w:rFonts w:ascii="Consolas" w:hAnsi="Consolas"/>
                <w:color w:val="E2E8F0"/>
                <w:sz w:val="17"/>
              </w:rPr>
            </w:r>
          </w:p>
          <w:p>
            <w:pPr>
              <w:spacing w:after="20" w:before="0" w:line="252" w:lineRule="auto"/>
            </w:pPr>
            <w:r>
              <w:rPr>
                <w:rFonts w:ascii="Consolas" w:hAnsi="Consolas"/>
                <w:color w:val="E2E8F0"/>
                <w:sz w:val="17"/>
              </w:rPr>
              <w:t>Capítulo 4: Análisis de sostenibilidad</w:t>
            </w:r>
          </w:p>
          <w:p>
            <w:pPr>
              <w:spacing w:after="20" w:before="0" w:line="252" w:lineRule="auto"/>
            </w:pPr>
            <w:r>
              <w:rPr>
                <w:rFonts w:ascii="Consolas" w:hAnsi="Consolas"/>
                <w:color w:val="E2E8F0"/>
                <w:sz w:val="17"/>
              </w:rPr>
              <w:t xml:space="preserve">  4.1. Cobertura CSRD/ESRS en muestra europea</w:t>
            </w:r>
          </w:p>
          <w:p>
            <w:pPr>
              <w:spacing w:after="20" w:before="0" w:line="252" w:lineRule="auto"/>
            </w:pPr>
            <w:r>
              <w:rPr>
                <w:rFonts w:ascii="Consolas" w:hAnsi="Consolas"/>
                <w:color w:val="E2E8F0"/>
                <w:sz w:val="17"/>
              </w:rPr>
              <w:t xml:space="preserve">  4.2. Lagunas de datos y calidad de divulgación</w:t>
            </w:r>
          </w:p>
          <w:p>
            <w:pPr>
              <w:spacing w:after="20" w:before="0" w:line="252" w:lineRule="auto"/>
            </w:pPr>
            <w:r>
              <w:rPr>
                <w:rFonts w:ascii="Consolas" w:hAnsi="Consolas"/>
                <w:color w:val="E2E8F0"/>
                <w:sz w:val="17"/>
              </w:rPr>
              <w:t xml:space="preserve">  4.3. Comparativa con disclosure ESG en EE.UU.</w:t>
            </w:r>
          </w:p>
          <w:p>
            <w:pPr>
              <w:spacing w:after="20" w:before="0" w:line="252" w:lineRule="auto"/>
            </w:pPr>
            <w:r>
              <w:rPr>
                <w:rFonts w:ascii="Consolas" w:hAnsi="Consolas"/>
                <w:color w:val="E2E8F0"/>
                <w:sz w:val="17"/>
              </w:rPr>
              <w:t xml:space="preserve">  4.4. Detección de patrones de greenwashing textual</w:t>
            </w:r>
          </w:p>
          <w:p>
            <w:pPr>
              <w:spacing w:after="20" w:before="0" w:line="252" w:lineRule="auto"/>
            </w:pPr>
            <w:r>
              <w:rPr>
                <w:rFonts w:ascii="Consolas" w:hAnsi="Consolas"/>
                <w:color w:val="E2E8F0"/>
                <w:sz w:val="17"/>
              </w:rPr>
            </w:r>
          </w:p>
          <w:p>
            <w:pPr>
              <w:spacing w:after="20" w:before="0" w:line="252" w:lineRule="auto"/>
            </w:pPr>
            <w:r>
              <w:rPr>
                <w:rFonts w:ascii="Consolas" w:hAnsi="Consolas"/>
                <w:color w:val="E2E8F0"/>
                <w:sz w:val="17"/>
              </w:rPr>
              <w:t>Capítulo 5: Implicaciones</w:t>
            </w:r>
          </w:p>
          <w:p>
            <w:pPr>
              <w:spacing w:after="20" w:before="0" w:line="252" w:lineRule="auto"/>
            </w:pPr>
            <w:r>
              <w:rPr>
                <w:rFonts w:ascii="Consolas" w:hAnsi="Consolas"/>
                <w:color w:val="E2E8F0"/>
                <w:sz w:val="17"/>
              </w:rPr>
              <w:t xml:space="preserve">  5.1. Para el auditor y el proceso de assurance</w:t>
            </w:r>
          </w:p>
          <w:p>
            <w:pPr>
              <w:spacing w:after="20" w:before="0" w:line="252" w:lineRule="auto"/>
            </w:pPr>
            <w:r>
              <w:rPr>
                <w:rFonts w:ascii="Consolas" w:hAnsi="Consolas"/>
                <w:color w:val="E2E8F0"/>
                <w:sz w:val="17"/>
              </w:rPr>
              <w:t xml:space="preserve">  5.2. Para el inversor y la transparencia de mercado</w:t>
            </w:r>
          </w:p>
          <w:p>
            <w:pPr>
              <w:spacing w:after="20" w:before="0" w:line="252" w:lineRule="auto"/>
            </w:pPr>
            <w:r>
              <w:rPr>
                <w:rFonts w:ascii="Consolas" w:hAnsi="Consolas"/>
                <w:color w:val="E2E8F0"/>
                <w:sz w:val="17"/>
              </w:rPr>
              <w:t xml:space="preserve">  5.3. Para el regulador (PCAOB, ESMA, ICAC)</w:t>
            </w:r>
          </w:p>
          <w:p>
            <w:pPr>
              <w:spacing w:after="20" w:before="0" w:line="252" w:lineRule="auto"/>
            </w:pPr>
            <w:r>
              <w:rPr>
                <w:rFonts w:ascii="Consolas" w:hAnsi="Consolas"/>
                <w:color w:val="E2E8F0"/>
                <w:sz w:val="17"/>
              </w:rPr>
              <w:t xml:space="preserve">  5.4. El papel de la infraestructura de datos en la supervisión</w:t>
            </w:r>
          </w:p>
          <w:p>
            <w:pPr>
              <w:spacing w:after="20" w:before="0" w:line="252" w:lineRule="auto"/>
            </w:pPr>
            <w:r>
              <w:rPr>
                <w:rFonts w:ascii="Consolas" w:hAnsi="Consolas"/>
                <w:color w:val="E2E8F0"/>
                <w:sz w:val="17"/>
              </w:rPr>
            </w:r>
          </w:p>
          <w:p>
            <w:pPr>
              <w:spacing w:after="20" w:before="0" w:line="252" w:lineRule="auto"/>
            </w:pPr>
            <w:r>
              <w:rPr>
                <w:rFonts w:ascii="Consolas" w:hAnsi="Consolas"/>
                <w:color w:val="E2E8F0"/>
                <w:sz w:val="17"/>
              </w:rPr>
              <w:t>Conclusiones, limitaciones y futura investigación</w:t>
            </w:r>
          </w:p>
        </w:tc>
      </w:tr>
    </w:tbl>
    <w:p>
      <w:pPr>
        <w:spacing w:after="80"/>
      </w:pPr>
    </w:p>
    <w:p>
      <w:pPr>
        <w:keepNext/>
        <w:spacing w:before="320" w:after="120"/>
      </w:pPr>
      <w:r>
        <w:rPr>
          <w:rFonts w:ascii="Segoe UI" w:hAnsi="Segoe UI"/>
          <w:b/>
          <w:color w:val="0B2545"/>
          <w:sz w:val="28"/>
        </w:rPr>
        <w:t>CAPÍTULO 10. LUMINIC FINANCE: PLATAFORMA EDUCATIVA</w:t>
      </w:r>
    </w:p>
    <w:p>
      <w:pPr>
        <w:keepNext/>
        <w:spacing w:before="240" w:after="80"/>
      </w:pPr>
      <w:r>
        <w:rPr>
          <w:rFonts w:ascii="Segoe UI" w:hAnsi="Segoe UI"/>
          <w:b/>
          <w:color w:val="134074"/>
          <w:sz w:val="23"/>
        </w:rPr>
        <w:t>10.1. Qué puede ofrecer sin acreditación EFPA</w:t>
      </w:r>
    </w:p>
    <w:p>
      <w:pPr>
        <w:keepNext/>
        <w:spacing w:before="120" w:after="80"/>
      </w:pPr>
      <w:r>
        <w:rPr>
          <w:rFonts w:ascii="Segoe UI" w:hAnsi="Segoe UI"/>
          <w:b/>
          <w:color w:val="134074"/>
          <w:sz w:val="16"/>
          <w:shd w:fill="EEF2F6"/>
        </w:rPr>
        <w:t xml:space="preserve"> CONFIRMADA POR FUENTE OFICIAL — EFPA España </w:t>
      </w:r>
    </w:p>
    <w:p>
      <w:pPr>
        <w:spacing w:after="80" w:before="0" w:line="276" w:lineRule="auto"/>
      </w:pPr>
      <w:r>
        <w:rPr>
          <w:rFonts w:ascii="Segoe UI" w:hAnsi="Segoe UI"/>
          <w:i w:val="0"/>
          <w:color w:val="1F2937"/>
          <w:sz w:val="19"/>
        </w:rPr>
        <w:t>Una plataforma educativa no acreditada por EFPA puede:</w:t>
      </w:r>
    </w:p>
    <w:p>
      <w:pPr>
        <w:pStyle w:val="ListBullet"/>
        <w:spacing w:after="60" w:before="0" w:line="276" w:lineRule="auto"/>
        <w:ind w:left="360"/>
      </w:pPr>
      <w:r>
        <w:rPr>
          <w:rFonts w:ascii="Segoe UI" w:hAnsi="Segoe UI"/>
          <w:color w:val="1F2937"/>
          <w:sz w:val="19"/>
        </w:rPr>
        <w:t>Crear y vender cursos de formación financiera con contenidos propios</w:t>
      </w:r>
    </w:p>
    <w:p>
      <w:pPr>
        <w:pStyle w:val="ListBullet"/>
        <w:spacing w:after="60" w:before="0" w:line="276" w:lineRule="auto"/>
        <w:ind w:left="360"/>
      </w:pPr>
      <w:r>
        <w:rPr>
          <w:rFonts w:ascii="Segoe UI" w:hAnsi="Segoe UI"/>
          <w:color w:val="1F2937"/>
          <w:sz w:val="19"/>
        </w:rPr>
        <w:t>Indicar que sus cursos cubren materias relacionadas con las certificaciones EFA, EFP, EIA, EIP</w:t>
      </w:r>
    </w:p>
    <w:p>
      <w:pPr>
        <w:pStyle w:val="ListBullet"/>
        <w:spacing w:after="60" w:before="0" w:line="276" w:lineRule="auto"/>
        <w:ind w:left="360"/>
      </w:pPr>
      <w:r>
        <w:rPr>
          <w:rFonts w:ascii="Segoe UI" w:hAnsi="Segoe UI"/>
          <w:color w:val="1F2937"/>
          <w:sz w:val="19"/>
        </w:rPr>
        <w:t>Describir sus cursos como "preparatorios" si el contenido es adecuado (verificar que no se presenta como garantía de aprobado)</w:t>
      </w:r>
    </w:p>
    <w:p>
      <w:pPr>
        <w:pStyle w:val="ListBullet"/>
        <w:spacing w:after="60" w:before="0" w:line="276" w:lineRule="auto"/>
        <w:ind w:left="360"/>
      </w:pPr>
      <w:r>
        <w:rPr>
          <w:rFonts w:ascii="Segoe UI" w:hAnsi="Segoe UI"/>
          <w:color w:val="1F2937"/>
          <w:sz w:val="19"/>
        </w:rPr>
        <w:t>Emitir certificados propios de finalización de curso con el nombre de la plataforma</w:t>
      </w:r>
    </w:p>
    <w:p>
      <w:pPr>
        <w:spacing w:after="80" w:before="0" w:line="276" w:lineRule="auto"/>
      </w:pPr>
      <w:r>
        <w:rPr>
          <w:rFonts w:ascii="Segoe UI" w:hAnsi="Segoe UI"/>
          <w:i w:val="0"/>
          <w:color w:val="1F2937"/>
          <w:sz w:val="19"/>
        </w:rPr>
        <w:t>Una plataforma no acreditada NO puede:</w:t>
      </w:r>
    </w:p>
    <w:p>
      <w:pPr>
        <w:pStyle w:val="ListBullet"/>
        <w:spacing w:after="60" w:before="0" w:line="276" w:lineRule="auto"/>
        <w:ind w:left="360"/>
      </w:pPr>
      <w:r>
        <w:rPr>
          <w:rFonts w:ascii="Segoe UI" w:hAnsi="Segoe UI"/>
          <w:color w:val="1F2937"/>
          <w:sz w:val="19"/>
        </w:rPr>
        <w:t>Afirmar que sus cursos están "acreditados por EFPA" si no lo están</w:t>
      </w:r>
    </w:p>
    <w:p>
      <w:pPr>
        <w:pStyle w:val="ListBullet"/>
        <w:spacing w:after="60" w:before="0" w:line="276" w:lineRule="auto"/>
        <w:ind w:left="360"/>
      </w:pPr>
      <w:r>
        <w:rPr>
          <w:rFonts w:ascii="Segoe UI" w:hAnsi="Segoe UI"/>
          <w:color w:val="1F2937"/>
          <w:sz w:val="19"/>
        </w:rPr>
        <w:t>Usar las marcas registradas de EFPA sin autorización</w:t>
      </w:r>
    </w:p>
    <w:p>
      <w:pPr>
        <w:pStyle w:val="ListBullet"/>
        <w:spacing w:after="60" w:before="0" w:line="276" w:lineRule="auto"/>
        <w:ind w:left="360"/>
      </w:pPr>
      <w:r>
        <w:rPr>
          <w:rFonts w:ascii="Segoe UI" w:hAnsi="Segoe UI"/>
          <w:color w:val="1F2937"/>
          <w:sz w:val="19"/>
        </w:rPr>
        <w:t>Presentar sus certificados como equivalentes a las certificaciones EFPA</w:t>
      </w:r>
    </w:p>
    <w:p>
      <w:pPr>
        <w:keepNext/>
        <w:spacing w:before="240" w:after="80"/>
      </w:pPr>
      <w:r>
        <w:rPr>
          <w:rFonts w:ascii="Segoe UI" w:hAnsi="Segoe UI"/>
          <w:b/>
          <w:color w:val="134074"/>
          <w:sz w:val="23"/>
        </w:rPr>
        <w:t>10.2. Proceso para solicitar acreditación EFPA</w:t>
      </w:r>
    </w:p>
    <w:p>
      <w:pPr>
        <w:keepNext/>
        <w:spacing w:before="120" w:after="80"/>
      </w:pPr>
      <w:r>
        <w:rPr>
          <w:rFonts w:ascii="Segoe UI" w:hAnsi="Segoe UI"/>
          <w:b/>
          <w:color w:val="134074"/>
          <w:sz w:val="16"/>
          <w:shd w:fill="EEF2F6"/>
        </w:rPr>
        <w:t xml:space="preserve"> CONFIRMADA POR FUENTE OFICIAL — EFPA España, Comité de Acreditación y Certificación </w:t>
      </w:r>
    </w:p>
    <w:p>
      <w:pPr>
        <w:spacing w:after="80" w:before="0" w:line="276" w:lineRule="auto"/>
      </w:pPr>
      <w:r>
        <w:rPr>
          <w:rFonts w:ascii="Segoe UI" w:hAnsi="Segoe UI"/>
          <w:i w:val="0"/>
          <w:color w:val="1F2937"/>
          <w:sz w:val="19"/>
        </w:rPr>
        <w:t>El proceso requiere:</w:t>
      </w:r>
    </w:p>
    <w:p>
      <w:pPr>
        <w:pStyle w:val="ListBullet"/>
        <w:spacing w:after="60" w:before="0" w:line="276" w:lineRule="auto"/>
        <w:ind w:left="360"/>
      </w:pPr>
      <w:r>
        <w:rPr>
          <w:rFonts w:ascii="Segoe UI" w:hAnsi="Segoe UI"/>
          <w:b/>
          <w:color w:val="1F2937"/>
          <w:sz w:val="19"/>
        </w:rPr>
        <w:t xml:space="preserve">1. </w:t>
      </w:r>
      <w:r>
        <w:rPr>
          <w:rFonts w:ascii="Segoe UI" w:hAnsi="Segoe UI"/>
          <w:color w:val="1F2937"/>
          <w:sz w:val="19"/>
        </w:rPr>
        <w:t>Evaluación del programa formativo (contenidos, horas, estructura)</w:t>
      </w:r>
    </w:p>
    <w:p>
      <w:pPr>
        <w:pStyle w:val="ListBullet"/>
        <w:spacing w:after="60" w:before="0" w:line="276" w:lineRule="auto"/>
        <w:ind w:left="360"/>
      </w:pPr>
      <w:r>
        <w:rPr>
          <w:rFonts w:ascii="Segoe UI" w:hAnsi="Segoe UI"/>
          <w:b/>
          <w:color w:val="1F2937"/>
          <w:sz w:val="19"/>
        </w:rPr>
        <w:t xml:space="preserve">2. </w:t>
      </w:r>
      <w:r>
        <w:rPr>
          <w:rFonts w:ascii="Segoe UI" w:hAnsi="Segoe UI"/>
          <w:color w:val="1F2937"/>
          <w:sz w:val="19"/>
        </w:rPr>
        <w:t>Evaluación de la cualificación del profesorado</w:t>
      </w:r>
    </w:p>
    <w:p>
      <w:pPr>
        <w:pStyle w:val="ListBullet"/>
        <w:spacing w:after="60" w:before="0" w:line="276" w:lineRule="auto"/>
        <w:ind w:left="360"/>
      </w:pPr>
      <w:r>
        <w:rPr>
          <w:rFonts w:ascii="Segoe UI" w:hAnsi="Segoe UI"/>
          <w:b/>
          <w:color w:val="1F2937"/>
          <w:sz w:val="19"/>
        </w:rPr>
        <w:t xml:space="preserve">3. </w:t>
      </w:r>
      <w:r>
        <w:rPr>
          <w:rFonts w:ascii="Segoe UI" w:hAnsi="Segoe UI"/>
          <w:color w:val="1F2937"/>
          <w:sz w:val="19"/>
        </w:rPr>
        <w:t>Evaluación del manual formativo (calidad y adecuación didáctica)</w:t>
      </w:r>
    </w:p>
    <w:p>
      <w:pPr>
        <w:pStyle w:val="ListBullet"/>
        <w:spacing w:after="60" w:before="0" w:line="276" w:lineRule="auto"/>
        <w:ind w:left="360"/>
      </w:pPr>
      <w:r>
        <w:rPr>
          <w:rFonts w:ascii="Segoe UI" w:hAnsi="Segoe UI"/>
          <w:b/>
          <w:color w:val="1F2937"/>
          <w:sz w:val="19"/>
        </w:rPr>
        <w:t xml:space="preserve">4. </w:t>
      </w:r>
      <w:r>
        <w:rPr>
          <w:rFonts w:ascii="Segoe UI" w:hAnsi="Segoe UI"/>
          <w:color w:val="1F2937"/>
          <w:sz w:val="19"/>
        </w:rPr>
        <w:t>Aprobación por el Comité de Acreditación y Certificación</w:t>
      </w:r>
    </w:p>
    <w:p>
      <w:pPr>
        <w:spacing w:after="80" w:before="0" w:line="276" w:lineRule="auto"/>
      </w:pPr>
      <w:r>
        <w:rPr>
          <w:rFonts w:ascii="Segoe UI" w:hAnsi="Segoe UI"/>
          <w:i w:val="0"/>
          <w:color w:val="1F2937"/>
          <w:sz w:val="19"/>
        </w:rPr>
        <w:t>Una vez acreditado, el centro puede usar el sello EFPA en sus materiales promocionales.</w:t>
      </w:r>
    </w:p>
    <w:p>
      <w:pPr>
        <w:spacing w:after="80" w:before="0" w:line="276" w:lineRule="auto"/>
      </w:pPr>
      <w:r>
        <w:rPr>
          <w:rFonts w:ascii="Segoe UI" w:hAnsi="Segoe UI"/>
          <w:i w:val="0"/>
          <w:color w:val="1F2937"/>
          <w:sz w:val="19"/>
        </w:rPr>
        <w:t>Recomendación de secuencia:</w:t>
      </w:r>
    </w:p>
    <w:p>
      <w:pPr>
        <w:pStyle w:val="ListBullet"/>
        <w:spacing w:after="60" w:before="0" w:line="276" w:lineRule="auto"/>
        <w:ind w:left="360"/>
      </w:pPr>
      <w:r>
        <w:rPr>
          <w:rFonts w:ascii="Segoe UI" w:hAnsi="Segoe UI"/>
          <w:b/>
          <w:color w:val="1F2937"/>
          <w:sz w:val="19"/>
        </w:rPr>
        <w:t xml:space="preserve">1. </w:t>
      </w:r>
      <w:r>
        <w:rPr>
          <w:rFonts w:ascii="Segoe UI" w:hAnsi="Segoe UI"/>
          <w:color w:val="1F2937"/>
          <w:sz w:val="19"/>
        </w:rPr>
        <w:t>Construir la plataforma y los cursos con calidad documentada (meses 1–12)</w:t>
      </w:r>
    </w:p>
    <w:p>
      <w:pPr>
        <w:pStyle w:val="ListBullet"/>
        <w:spacing w:after="60" w:before="0" w:line="276" w:lineRule="auto"/>
        <w:ind w:left="360"/>
      </w:pPr>
      <w:r>
        <w:rPr>
          <w:rFonts w:ascii="Segoe UI" w:hAnsi="Segoe UI"/>
          <w:b/>
          <w:color w:val="1F2937"/>
          <w:sz w:val="19"/>
        </w:rPr>
        <w:t xml:space="preserve">2. </w:t>
      </w:r>
      <w:r>
        <w:rPr>
          <w:rFonts w:ascii="Segoe UI" w:hAnsi="Segoe UI"/>
          <w:color w:val="1F2937"/>
          <w:sz w:val="19"/>
        </w:rPr>
        <w:t>Reclutar profesorado con titulación EFP, CFA o equivalente</w:t>
      </w:r>
    </w:p>
    <w:p>
      <w:pPr>
        <w:pStyle w:val="ListBullet"/>
        <w:spacing w:after="60" w:before="0" w:line="276" w:lineRule="auto"/>
        <w:ind w:left="360"/>
      </w:pPr>
      <w:r>
        <w:rPr>
          <w:rFonts w:ascii="Segoe UI" w:hAnsi="Segoe UI"/>
          <w:b/>
          <w:color w:val="1F2937"/>
          <w:sz w:val="19"/>
        </w:rPr>
        <w:t xml:space="preserve">3. </w:t>
      </w:r>
      <w:r>
        <w:rPr>
          <w:rFonts w:ascii="Segoe UI" w:hAnsi="Segoe UI"/>
          <w:color w:val="1F2937"/>
          <w:sz w:val="19"/>
        </w:rPr>
        <w:t>Documentar las horas y contenidos según el programa EFPA</w:t>
      </w:r>
    </w:p>
    <w:p>
      <w:pPr>
        <w:pStyle w:val="ListBullet"/>
        <w:spacing w:after="60" w:before="0" w:line="276" w:lineRule="auto"/>
        <w:ind w:left="360"/>
      </w:pPr>
      <w:r>
        <w:rPr>
          <w:rFonts w:ascii="Segoe UI" w:hAnsi="Segoe UI"/>
          <w:b/>
          <w:color w:val="1F2937"/>
          <w:sz w:val="19"/>
        </w:rPr>
        <w:t xml:space="preserve">4. </w:t>
      </w:r>
      <w:r>
        <w:rPr>
          <w:rFonts w:ascii="Segoe UI" w:hAnsi="Segoe UI"/>
          <w:color w:val="1F2937"/>
          <w:sz w:val="19"/>
        </w:rPr>
        <w:t>Solicitar acreditación cuando el producto esté probado y haya cohort de alumnos que validen</w:t>
      </w:r>
    </w:p>
    <w:p>
      <w:pPr>
        <w:keepNext/>
        <w:spacing w:before="240" w:after="80"/>
      </w:pPr>
      <w:r>
        <w:rPr>
          <w:rFonts w:ascii="Segoe UI" w:hAnsi="Segoe UI"/>
          <w:b/>
          <w:color w:val="134074"/>
          <w:sz w:val="23"/>
        </w:rPr>
        <w:t>10.3. El software de inversión sistemática (app SFI)</w:t>
      </w:r>
    </w:p>
    <w:p>
      <w:pPr>
        <w:spacing w:after="80" w:before="0" w:line="276" w:lineRule="auto"/>
      </w:pPr>
      <w:r>
        <w:rPr>
          <w:rFonts w:ascii="Segoe UI" w:hAnsi="Segoe UI"/>
          <w:i w:val="0"/>
          <w:color w:val="1F2937"/>
          <w:sz w:val="19"/>
        </w:rPr>
        <w:t>El software de backtesting y laboratorio de fundamentales es un producto educativo que puede publicarse sin restricciones regulatorias, siempre que:</w:t>
      </w:r>
    </w:p>
    <w:p>
      <w:pPr>
        <w:pStyle w:val="ListBullet"/>
        <w:spacing w:after="60" w:before="0" w:line="276" w:lineRule="auto"/>
        <w:ind w:left="360"/>
      </w:pPr>
      <w:r>
        <w:rPr>
          <w:rFonts w:ascii="Segoe UI" w:hAnsi="Segoe UI"/>
          <w:color w:val="1F2937"/>
          <w:sz w:val="19"/>
        </w:rPr>
        <w:t>No ejecute operaciones reales (no conecta a brokers ni gestiona dinero)</w:t>
      </w:r>
    </w:p>
    <w:p>
      <w:pPr>
        <w:pStyle w:val="ListBullet"/>
        <w:spacing w:after="60" w:before="0" w:line="276" w:lineRule="auto"/>
        <w:ind w:left="360"/>
      </w:pPr>
      <w:r>
        <w:rPr>
          <w:rFonts w:ascii="Segoe UI" w:hAnsi="Segoe UI"/>
          <w:color w:val="1F2937"/>
          <w:sz w:val="19"/>
        </w:rPr>
        <w:t>Presenta resultados históricos con advertencias claras de que el rendimiento pasado no garantiza el futuro</w:t>
      </w:r>
    </w:p>
    <w:p>
      <w:pPr>
        <w:pStyle w:val="ListBullet"/>
        <w:spacing w:after="60" w:before="0" w:line="276" w:lineRule="auto"/>
        <w:ind w:left="360"/>
      </w:pPr>
      <w:r>
        <w:rPr>
          <w:rFonts w:ascii="Segoe UI" w:hAnsi="Segoe UI"/>
          <w:color w:val="1F2937"/>
          <w:sz w:val="19"/>
        </w:rPr>
        <w:t>No sugiere operaciones concretas sobre instrumentos específicos en tiempo real</w:t>
      </w:r>
    </w:p>
    <w:p>
      <w:pPr>
        <w:pStyle w:val="ListBullet"/>
        <w:spacing w:after="60" w:before="0" w:line="276" w:lineRule="auto"/>
        <w:ind w:left="360"/>
      </w:pPr>
      <w:r>
        <w:rPr>
          <w:rFonts w:ascii="Segoe UI" w:hAnsi="Segoe UI"/>
          <w:color w:val="1F2937"/>
          <w:sz w:val="19"/>
        </w:rPr>
        <w:t>El usuario entiende que está usando una herramienta educativa y de investigación</w:t>
      </w:r>
    </w:p>
    <w:p>
      <w:pPr>
        <w:spacing w:after="80" w:before="0" w:line="276" w:lineRule="auto"/>
      </w:pPr>
      <w:r>
        <w:rPr>
          <w:rFonts w:ascii="Segoe UI" w:hAnsi="Segoe UI"/>
          <w:i w:val="0"/>
          <w:color w:val="1F2937"/>
          <w:sz w:val="19"/>
        </w:rPr>
        <w:t>La cartera modelo puede publicarse como referencia metodológica histórica con la misma cautela.</w:t>
      </w:r>
    </w:p>
    <w:p>
      <w:pPr>
        <w:keepNext/>
        <w:spacing w:before="320" w:after="120"/>
      </w:pPr>
      <w:r>
        <w:rPr>
          <w:rFonts w:ascii="Segoe UI" w:hAnsi="Segoe UI"/>
          <w:b/>
          <w:color w:val="0B2545"/>
          <w:sz w:val="28"/>
        </w:rPr>
        <w:t>CAPÍTULO 11. ROADMAP DE EJECUCIÓN</w:t>
      </w:r>
    </w:p>
    <w:p>
      <w:pPr>
        <w:keepNext/>
        <w:spacing w:before="240" w:after="80"/>
      </w:pPr>
      <w:r>
        <w:rPr>
          <w:rFonts w:ascii="Segoe UI" w:hAnsi="Segoe UI"/>
          <w:b/>
          <w:color w:val="134074"/>
          <w:sz w:val="23"/>
        </w:rPr>
        <w:t>Meses 0–3: Fundamentos técnicos y legales</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Consulta jurídica sobre: (1) condiciones de redistribución OAMs, (2) límites MAR para SFI</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Configuración del entorno local: Python, DuckDB, Arelle, Ollama, Git</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Estructura de carpetas y primeras reglas de calidad de datos</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Conector CNMV: listado de empresas IBEX + Mercado Continuo → descarga ESEF + hash</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Primer pipeline de extracción ESEF (Arelle): Balance + PyG + Flujos para 20 empresas piloto</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Primera extracción de KAM (ISA 701) de 5 empresas españolas: auditoría manual del proceso</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Validación 100% de la muestra piloto</w:t>
      </w:r>
    </w:p>
    <w:p>
      <w:pPr>
        <w:keepNext/>
        <w:spacing w:before="240" w:after="80"/>
      </w:pPr>
      <w:r>
        <w:rPr>
          <w:rFonts w:ascii="Segoe UI" w:hAnsi="Segoe UI"/>
          <w:b/>
          <w:color w:val="134074"/>
          <w:sz w:val="23"/>
        </w:rPr>
        <w:t>Meses 3–6: España operativa (500+ empresas)</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Extensión del conector CNMV a BME Growth y BME Scaleup (con marca diferenciada de norma contable)</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Extractor ESG básico: ESRS E1 (emisiones) y S1 (empleados) para el universo español</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Base de datos operativa con DuckDB → migración a PostgreSQL en VPS</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Primer prototipo de API REST (FastAPI) con autenticación básica</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Portal web básico: perfiles de empresa, búsqueda, 3 ratios</w:t>
      </w:r>
    </w:p>
    <w:p>
      <w:pPr>
        <w:keepNext/>
        <w:spacing w:before="240" w:after="80"/>
      </w:pPr>
      <w:r>
        <w:rPr>
          <w:rFonts w:ascii="Segoe UI" w:hAnsi="Segoe UI"/>
          <w:b/>
          <w:color w:val="134074"/>
          <w:sz w:val="23"/>
        </w:rPr>
        <w:t>Meses 6–9: Expansión a 3 países + datos de auditoría completos</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Conectores AMF (Francia) y AFM (Países Bajos)</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Panel KAM completo: todos los campos del esquema definido</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Panel ESG completo: ESRS E1-E5 y S1 para los tres países</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Score ESG propio v1 con metodología publicada</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Primeras conversaciones con universidades y gestoras boutique</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Demo pública cerrada (acceso por invitación)</w:t>
      </w:r>
    </w:p>
    <w:p>
      <w:pPr>
        <w:keepNext/>
        <w:spacing w:before="240" w:after="80"/>
      </w:pPr>
      <w:r>
        <w:rPr>
          <w:rFonts w:ascii="Segoe UI" w:hAnsi="Segoe UI"/>
          <w:b/>
          <w:color w:val="134074"/>
          <w:sz w:val="23"/>
        </w:rPr>
        <w:t>Meses 9–12: Italia, Alemania + producto comercial + app</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Conectores CONSOB/1INFO (Italia) y Bundesanzeiger/BaFin (Alemania)</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Ratios financieros completos para los 5 países</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Metadatos corporativos (LEI, ISIN, grupo societario)</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Producto Intrinsic Value: primeros informes sectoriales firmados</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Prototipo app móvil (React Native o Flutter): backtester SFI básico</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Constitución de STATER SL (si el MVP ha sido validado)</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Primeros acuerdos comerciales piloto</w:t>
      </w:r>
    </w:p>
    <w:p>
      <w:pPr>
        <w:keepNext/>
        <w:spacing w:before="240" w:after="80"/>
      </w:pPr>
      <w:r>
        <w:rPr>
          <w:rFonts w:ascii="Segoe UI" w:hAnsi="Segoe UI"/>
          <w:b/>
          <w:color w:val="134074"/>
          <w:sz w:val="23"/>
        </w:rPr>
        <w:t>Meses 12–24: Escala + institucional + EFPA</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Información de mercado (precios, capitalización) integrada</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REX Emisor: producto para empresas cotizadas</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Solicitud de acreditación EFPA cuando los cursos de Luminic estén probados</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Acuerdo con universidad para cátedra o laboratorio de investigación</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API comercial documentada con sandbox público</w:t>
      </w:r>
    </w:p>
    <w:p>
      <w:pPr>
        <w:pStyle w:val="ListBullet"/>
        <w:spacing w:after="60" w:before="0" w:line="276" w:lineRule="auto"/>
        <w:ind w:left="360"/>
      </w:pPr>
      <w:r>
        <w:rPr>
          <w:rFonts w:ascii="Segoe UI" w:hAnsi="Segoe UI"/>
          <w:b/>
          <w:color w:val="1F2937"/>
          <w:sz w:val="19"/>
        </w:rPr>
        <w:t xml:space="preserve">[ ] </w:t>
      </w:r>
      <w:r>
        <w:rPr>
          <w:rFonts w:ascii="Segoe UI" w:hAnsi="Segoe UI"/>
          <w:color w:val="1F2937"/>
          <w:sz w:val="19"/>
        </w:rPr>
        <w:t>Primeras 3-5 licencias institucionales activas</w:t>
      </w:r>
    </w:p>
    <w:p>
      <w:pPr>
        <w:keepNext/>
        <w:spacing w:before="320" w:after="120"/>
      </w:pPr>
      <w:r>
        <w:rPr>
          <w:rFonts w:ascii="Segoe UI" w:hAnsi="Segoe UI"/>
          <w:b/>
          <w:color w:val="0B2545"/>
          <w:sz w:val="28"/>
        </w:rPr>
        <w:t>CAPÍTULO 12. RIESGOS Y MITIGACIÓN</w:t>
      </w:r>
    </w:p>
    <w:tbl>
      <w:tblPr>
        <w:tblW w:type="auto" w:w="0"/>
        <w:jc w:val="center"/>
        <w:tblLayout w:type="fixed"/>
        <w:tblLook w:firstColumn="1" w:firstRow="1" w:lastColumn="0" w:lastRow="0" w:noHBand="0" w:noVBand="1" w:val="04A0"/>
      </w:tblPr>
      <w:tblGrid>
        <w:gridCol w:w="2329"/>
        <w:gridCol w:w="2329"/>
        <w:gridCol w:w="2329"/>
        <w:gridCol w:w="2329"/>
      </w:tblGrid>
      <w:tr>
        <w:trPr>
          <w:tblHeader/>
          <w:cantSplit/>
        </w:trPr>
        <w:tc>
          <w:tcPr>
            <w:tcW w:type="dxa" w:w="331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Riesgo</w:t>
            </w:r>
          </w:p>
        </w:tc>
        <w:tc>
          <w:tcPr>
            <w:tcW w:type="dxa" w:w="1584"/>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Probabilidad</w:t>
            </w:r>
          </w:p>
        </w:tc>
        <w:tc>
          <w:tcPr>
            <w:tcW w:type="dxa" w:w="1296"/>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Impacto</w:t>
            </w:r>
          </w:p>
        </w:tc>
        <w:tc>
          <w:tcPr>
            <w:tcW w:type="dxa" w:w="4176"/>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Mitigación</w:t>
            </w:r>
          </w:p>
        </w:tc>
      </w:tr>
      <w:tr>
        <w:trPr>
          <w:cantSplit/>
        </w:trPr>
        <w:tc>
          <w:tcPr>
            <w:tcW w:type="dxa" w:w="331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MAR/MiFID: señales SFI calificadas como recomendación</w:t>
            </w:r>
          </w:p>
        </w:tc>
        <w:tc>
          <w:tcPr>
            <w:tcW w:type="dxa" w:w="1584"/>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Media</w:t>
            </w:r>
          </w:p>
        </w:tc>
        <w:tc>
          <w:tcPr>
            <w:tcW w:type="dxa" w:w="129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Alto</w:t>
            </w:r>
          </w:p>
        </w:tc>
        <w:tc>
          <w:tcPr>
            <w:tcW w:type="dxa" w:w="417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Asesoramiento jurídico previo; solo backtests y metodología sin señales actuales específicas</w:t>
            </w:r>
          </w:p>
        </w:tc>
      </w:tr>
      <w:tr>
        <w:trPr>
          <w:cantSplit/>
        </w:trPr>
        <w:tc>
          <w:tcPr>
            <w:tcW w:type="dxa" w:w="331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Redistribución de datos no permitida por OAMs/bolsas</w:t>
            </w:r>
          </w:p>
        </w:tc>
        <w:tc>
          <w:tcPr>
            <w:tcW w:type="dxa" w:w="1584"/>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Media</w:t>
            </w:r>
          </w:p>
        </w:tc>
        <w:tc>
          <w:tcPr>
            <w:tcW w:type="dxa" w:w="129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Alto</w:t>
            </w:r>
          </w:p>
        </w:tc>
        <w:tc>
          <w:tcPr>
            <w:tcW w:type="dxa" w:w="417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Revisión jurídica de términos de uso antes de publicar datos de cada fuente</w:t>
            </w:r>
          </w:p>
        </w:tc>
      </w:tr>
      <w:tr>
        <w:trPr>
          <w:cantSplit/>
        </w:trPr>
        <w:tc>
          <w:tcPr>
            <w:tcW w:type="dxa" w:w="331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Presentación de datos como auditados</w:t>
            </w:r>
          </w:p>
        </w:tc>
        <w:tc>
          <w:tcPr>
            <w:tcW w:type="dxa" w:w="1584"/>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Baja (si se sigue el protocolo)</w:t>
            </w:r>
          </w:p>
        </w:tc>
        <w:tc>
          <w:tcPr>
            <w:tcW w:type="dxa" w:w="129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Muy alto</w:t>
            </w:r>
          </w:p>
        </w:tc>
        <w:tc>
          <w:tcPr>
            <w:tcW w:type="dxa" w:w="417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Disclaimers claros; clasificación de niveles de evidencia; formación interna</w:t>
            </w:r>
          </w:p>
        </w:tc>
      </w:tr>
      <w:tr>
        <w:trPr>
          <w:cantSplit/>
        </w:trPr>
        <w:tc>
          <w:tcPr>
            <w:tcW w:type="dxa" w:w="331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Capacidad insuficiente (1 persona, 1.500-3.000 empresas)</w:t>
            </w:r>
          </w:p>
        </w:tc>
        <w:tc>
          <w:tcPr>
            <w:tcW w:type="dxa" w:w="1584"/>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Alta</w:t>
            </w:r>
          </w:p>
        </w:tc>
        <w:tc>
          <w:tcPr>
            <w:tcW w:type="dxa" w:w="129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Medio</w:t>
            </w:r>
          </w:p>
        </w:tc>
        <w:tc>
          <w:tcPr>
            <w:tcW w:type="dxa" w:w="417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Secuenciar por fases; no lanzar antes de validar capacidad real; incorporar colaboradores QA via TFGs</w:t>
            </w:r>
          </w:p>
        </w:tc>
      </w:tr>
      <w:tr>
        <w:trPr>
          <w:cantSplit/>
        </w:trPr>
        <w:tc>
          <w:tcPr>
            <w:tcW w:type="dxa" w:w="331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Cambio de condiciones de acceso por OAMs</w:t>
            </w:r>
          </w:p>
        </w:tc>
        <w:tc>
          <w:tcPr>
            <w:tcW w:type="dxa" w:w="1584"/>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Media</w:t>
            </w:r>
          </w:p>
        </w:tc>
        <w:tc>
          <w:tcPr>
            <w:tcW w:type="dxa" w:w="129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Medio</w:t>
            </w:r>
          </w:p>
        </w:tc>
        <w:tc>
          <w:tcPr>
            <w:tcW w:type="dxa" w:w="417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Arquitectura modular: un conector por OAM; cambio de uno no rompe el sistema</w:t>
            </w:r>
          </w:p>
        </w:tc>
      </w:tr>
      <w:tr>
        <w:trPr>
          <w:cantSplit/>
        </w:trPr>
        <w:tc>
          <w:tcPr>
            <w:tcW w:type="dxa" w:w="331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Dependencia de modelos IA externos</w:t>
            </w:r>
          </w:p>
        </w:tc>
        <w:tc>
          <w:tcPr>
            <w:tcW w:type="dxa" w:w="1584"/>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Media</w:t>
            </w:r>
          </w:p>
        </w:tc>
        <w:tc>
          <w:tcPr>
            <w:tcW w:type="dxa" w:w="129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Bajo-medio</w:t>
            </w:r>
          </w:p>
        </w:tc>
        <w:tc>
          <w:tcPr>
            <w:tcW w:type="dxa" w:w="417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Priorizar modelos locales (Ollama); mantener pipeline determinista como backup</w:t>
            </w:r>
          </w:p>
        </w:tc>
      </w:tr>
      <w:tr>
        <w:trPr>
          <w:cantSplit/>
        </w:trPr>
        <w:tc>
          <w:tcPr>
            <w:tcW w:type="dxa" w:w="331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Error material en dato publicado</w:t>
            </w:r>
          </w:p>
        </w:tc>
        <w:tc>
          <w:tcPr>
            <w:tcW w:type="dxa" w:w="1584"/>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Media</w:t>
            </w:r>
          </w:p>
        </w:tc>
        <w:tc>
          <w:tcPr>
            <w:tcW w:type="dxa" w:w="129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Alto</w:t>
            </w:r>
          </w:p>
        </w:tc>
        <w:tc>
          <w:tcPr>
            <w:tcW w:type="dxa" w:w="417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Revisión humana 100% en fase 1; política de correcciones publicada; insurance de responsabilidad civil (cuando se constituya la SL)</w:t>
            </w:r>
          </w:p>
        </w:tc>
      </w:tr>
      <w:tr>
        <w:trPr>
          <w:cantSplit/>
        </w:trPr>
        <w:tc>
          <w:tcPr>
            <w:tcW w:type="dxa" w:w="331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Gestión de datos personales (RGPD)</w:t>
            </w:r>
          </w:p>
        </w:tc>
        <w:tc>
          <w:tcPr>
            <w:tcW w:type="dxa" w:w="1584"/>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Media</w:t>
            </w:r>
          </w:p>
        </w:tc>
        <w:tc>
          <w:tcPr>
            <w:tcW w:type="dxa" w:w="129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Medio</w:t>
            </w:r>
          </w:p>
        </w:tc>
        <w:tc>
          <w:tcPr>
            <w:tcW w:type="dxa" w:w="417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Datos corporativos no son datos personales en su mayoría; excepción: directivos. Revisar con asesor RGPD</w:t>
            </w:r>
          </w:p>
        </w:tc>
      </w:tr>
      <w:tr>
        <w:trPr>
          <w:cantSplit/>
        </w:trPr>
        <w:tc>
          <w:tcPr>
            <w:tcW w:type="dxa" w:w="331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Confusión KAM/assurance por parte de usuarios</w:t>
            </w:r>
          </w:p>
        </w:tc>
        <w:tc>
          <w:tcPr>
            <w:tcW w:type="dxa" w:w="1584"/>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Media</w:t>
            </w:r>
          </w:p>
        </w:tc>
        <w:tc>
          <w:tcPr>
            <w:tcW w:type="dxa" w:w="129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Medio</w:t>
            </w:r>
          </w:p>
        </w:tc>
        <w:tc>
          <w:tcPr>
            <w:tcW w:type="dxa" w:w="417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Formación activa de usuarios; disclaimers en cada dato de auditoría</w:t>
            </w:r>
          </w:p>
        </w:tc>
      </w:tr>
    </w:tbl>
    <w:p>
      <w:pPr>
        <w:spacing w:after="80"/>
      </w:pPr>
    </w:p>
    <w:p>
      <w:pPr>
        <w:keepNext/>
        <w:spacing w:before="320" w:after="120"/>
      </w:pPr>
      <w:r>
        <w:rPr>
          <w:rFonts w:ascii="Segoe UI" w:hAnsi="Segoe UI"/>
          <w:b/>
          <w:color w:val="0B2545"/>
          <w:sz w:val="28"/>
        </w:rPr>
        <w:t>CAPÍTULO 13. CONCLUSIÓN Y PRÓXIMOS PASOS CRÍTICOS</w:t>
      </w:r>
    </w:p>
    <w:p>
      <w:pPr>
        <w:keepNext/>
        <w:spacing w:before="240" w:after="80"/>
      </w:pPr>
      <w:r>
        <w:rPr>
          <w:rFonts w:ascii="Segoe UI" w:hAnsi="Segoe UI"/>
          <w:b/>
          <w:color w:val="134074"/>
          <w:sz w:val="23"/>
        </w:rPr>
        <w:t>Qué debe hacerse primero (antes de escribir una línea de código de producción)</w:t>
      </w:r>
    </w:p>
    <w:p>
      <w:pPr>
        <w:pStyle w:val="ListBullet"/>
        <w:spacing w:after="60" w:before="0" w:line="276" w:lineRule="auto"/>
        <w:ind w:left="360"/>
      </w:pPr>
      <w:r>
        <w:t>1. Asesoramiento jurídico sobre redistribución de datos de OAMs y límites MAR. Coste estimado: 500 €. Sin esto, hay riesgo real de construir sobre bases legales no verificadas.</w:t>
      </w:r>
    </w:p>
    <w:p>
      <w:pPr>
        <w:pStyle w:val="ListBullet"/>
        <w:spacing w:after="60" w:before="0" w:line="276" w:lineRule="auto"/>
        <w:ind w:left="360"/>
      </w:pPr>
      <w:r>
        <w:rPr>
          <w:rFonts w:ascii="Segoe UI" w:hAnsi="Segoe UI"/>
          <w:b/>
          <w:color w:val="1F2937"/>
          <w:sz w:val="19"/>
        </w:rPr>
        <w:t xml:space="preserve">2. Validación del concepto con 10–15 usuarios potenciales. </w:t>
      </w:r>
      <w:r>
        <w:rPr>
          <w:rFonts w:ascii="Segoe UI" w:hAnsi="Segoe UI"/>
          <w:color w:val="1F2937"/>
          <w:sz w:val="19"/>
        </w:rPr>
        <w:t>Antes de construir el producto completo, hablar con: 2 gestoras boutique, 2 profesores universitarios, 3 estudiantes de finanzas, 2 desarrolladores financieros, 2 inversores retail avanzados. Preguntar: ¿pagarían? ¿Cuánto? ¿Qué les falta hoy?</w:t>
      </w:r>
    </w:p>
    <w:p>
      <w:pPr>
        <w:pStyle w:val="ListBullet"/>
        <w:spacing w:after="60" w:before="0" w:line="276" w:lineRule="auto"/>
        <w:ind w:left="360"/>
      </w:pPr>
      <w:r>
        <w:rPr>
          <w:rFonts w:ascii="Segoe UI" w:hAnsi="Segoe UI"/>
          <w:b/>
          <w:color w:val="1F2937"/>
          <w:sz w:val="19"/>
        </w:rPr>
        <w:t xml:space="preserve">3. Prueba técnica con 20 empresas. </w:t>
      </w:r>
      <w:r>
        <w:rPr>
          <w:rFonts w:ascii="Segoe UI" w:hAnsi="Segoe UI"/>
          <w:color w:val="1F2937"/>
          <w:sz w:val="19"/>
        </w:rPr>
        <w:t>Hacer el pipeline completo (descarga, ESEF, KAM, ESG) con 20 empresas del IBEX y documentar: tiempo por empresa, errores encontrados, calidad del extractor. Esto determinará la velocidad real de escala.</w:t>
      </w:r>
    </w:p>
    <w:p>
      <w:pPr>
        <w:keepNext/>
        <w:spacing w:before="240" w:after="80"/>
      </w:pPr>
      <w:r>
        <w:rPr>
          <w:rFonts w:ascii="Segoe UI" w:hAnsi="Segoe UI"/>
          <w:b/>
          <w:color w:val="134074"/>
          <w:sz w:val="23"/>
        </w:rPr>
        <w:t>Qué no debe hacerse</w:t>
      </w:r>
    </w:p>
    <w:p>
      <w:pPr>
        <w:pStyle w:val="ListBullet"/>
        <w:spacing w:after="60" w:before="0" w:line="276" w:lineRule="auto"/>
        <w:ind w:left="360"/>
      </w:pPr>
      <w:r>
        <w:rPr>
          <w:rFonts w:ascii="Segoe UI" w:hAnsi="Segoe UI"/>
          <w:color w:val="1F2937"/>
          <w:sz w:val="19"/>
        </w:rPr>
        <w:t>No publicar ningún dato sobre empresas específicas antes de revisar las condiciones de los OAMs.</w:t>
      </w:r>
    </w:p>
    <w:p>
      <w:pPr>
        <w:pStyle w:val="ListBullet"/>
        <w:spacing w:after="60" w:before="0" w:line="276" w:lineRule="auto"/>
        <w:ind w:left="360"/>
      </w:pPr>
      <w:r>
        <w:rPr>
          <w:rFonts w:ascii="Segoe UI" w:hAnsi="Segoe UI"/>
          <w:color w:val="1F2937"/>
          <w:sz w:val="19"/>
        </w:rPr>
        <w:t>No afirmar que los datos son "auditados", "certificados" o "verificados" en ningún caso.</w:t>
      </w:r>
    </w:p>
    <w:p>
      <w:pPr>
        <w:pStyle w:val="ListBullet"/>
        <w:spacing w:after="60" w:before="0" w:line="276" w:lineRule="auto"/>
        <w:ind w:left="360"/>
      </w:pPr>
      <w:r>
        <w:rPr>
          <w:rFonts w:ascii="Segoe UI" w:hAnsi="Segoe UI"/>
          <w:color w:val="1F2937"/>
          <w:sz w:val="19"/>
        </w:rPr>
        <w:t>No publicar señales de inversión actuales sin asesoramiento jurídico previo.</w:t>
      </w:r>
    </w:p>
    <w:p>
      <w:pPr>
        <w:pStyle w:val="ListBullet"/>
        <w:spacing w:after="60" w:before="0" w:line="276" w:lineRule="auto"/>
        <w:ind w:left="360"/>
      </w:pPr>
      <w:r>
        <w:rPr>
          <w:rFonts w:ascii="Segoe UI" w:hAnsi="Segoe UI"/>
          <w:color w:val="1F2937"/>
          <w:sz w:val="19"/>
        </w:rPr>
        <w:t>No constituir la SL antes de que el concepto esté mínimamente validado (las primeras semanas son de coste cero con estructura personal o asociativa).</w:t>
      </w:r>
    </w:p>
    <w:p>
      <w:pPr>
        <w:pStyle w:val="ListBullet"/>
        <w:spacing w:after="60" w:before="0" w:line="276" w:lineRule="auto"/>
        <w:ind w:left="360"/>
      </w:pPr>
      <w:r>
        <w:rPr>
          <w:rFonts w:ascii="Segoe UI" w:hAnsi="Segoe UI"/>
          <w:color w:val="1F2937"/>
          <w:sz w:val="19"/>
        </w:rPr>
        <w:t>No intentar cubrir los 5 países en paralelo desde el día 1.</w:t>
      </w:r>
    </w:p>
    <w:p>
      <w:pPr>
        <w:pStyle w:val="ListBullet"/>
        <w:spacing w:after="60" w:before="0" w:line="276" w:lineRule="auto"/>
        <w:ind w:left="360"/>
      </w:pPr>
      <w:r>
        <w:rPr>
          <w:rFonts w:ascii="Segoe UI" w:hAnsi="Segoe UI"/>
          <w:color w:val="1F2937"/>
          <w:sz w:val="19"/>
        </w:rPr>
        <w:t>No confundir KAM (europeo, ISA 701) con CAM (estadounidense, PCAOB) en ninguna comunicación pública.</w:t>
      </w:r>
    </w:p>
    <w:p>
      <w:pPr>
        <w:keepNext/>
        <w:spacing w:before="240" w:after="80"/>
      </w:pPr>
      <w:r>
        <w:rPr>
          <w:rFonts w:ascii="Segoe UI" w:hAnsi="Segoe UI"/>
          <w:b/>
          <w:color w:val="134074"/>
          <w:sz w:val="23"/>
        </w:rPr>
        <w:t>Decisión de viabilidad</w:t>
      </w:r>
    </w:p>
    <w:p>
      <w:pPr>
        <w:spacing w:after="80" w:before="0" w:line="276" w:lineRule="auto"/>
      </w:pPr>
      <w:r>
        <w:rPr>
          <w:rFonts w:ascii="Segoe UI" w:hAnsi="Segoe UI"/>
          <w:i w:val="0"/>
          <w:color w:val="1F2937"/>
          <w:sz w:val="19"/>
        </w:rPr>
        <w:t>El proyecto es técnica, regulatoriamente y económicamente viable bajo las condiciones declaradas (presupuesto 5.000–15.000 €, 15–30 horas semanales, asistencia IA, un VPS propio). La viabilidad depende de:</w:t>
      </w:r>
    </w:p>
    <w:p>
      <w:pPr>
        <w:pStyle w:val="ListBullet"/>
        <w:spacing w:after="60" w:before="0" w:line="276" w:lineRule="auto"/>
        <w:ind w:left="360"/>
      </w:pPr>
      <w:r>
        <w:rPr>
          <w:rFonts w:ascii="Segoe UI" w:hAnsi="Segoe UI"/>
          <w:b/>
          <w:color w:val="1F2937"/>
          <w:sz w:val="19"/>
        </w:rPr>
        <w:t xml:space="preserve">1. </w:t>
      </w:r>
      <w:r>
        <w:rPr>
          <w:rFonts w:ascii="Segoe UI" w:hAnsi="Segoe UI"/>
          <w:color w:val="1F2937"/>
          <w:sz w:val="19"/>
        </w:rPr>
        <w:t>Confirmación legal sobre redistribución de datos (no asumir que es libre).</w:t>
      </w:r>
    </w:p>
    <w:p>
      <w:pPr>
        <w:pStyle w:val="ListBullet"/>
        <w:spacing w:after="60" w:before="0" w:line="276" w:lineRule="auto"/>
        <w:ind w:left="360"/>
      </w:pPr>
      <w:r>
        <w:rPr>
          <w:rFonts w:ascii="Segoe UI" w:hAnsi="Segoe UI"/>
          <w:b/>
          <w:color w:val="1F2937"/>
          <w:sz w:val="19"/>
        </w:rPr>
        <w:t xml:space="preserve">2. </w:t>
      </w:r>
      <w:r>
        <w:rPr>
          <w:rFonts w:ascii="Segoe UI" w:hAnsi="Segoe UI"/>
          <w:color w:val="1F2937"/>
          <w:sz w:val="19"/>
        </w:rPr>
        <w:t>Secuencia disciplinada: España primero, profundidad antes que anchura.</w:t>
      </w:r>
    </w:p>
    <w:p>
      <w:pPr>
        <w:pStyle w:val="ListBullet"/>
        <w:spacing w:after="60" w:before="0" w:line="276" w:lineRule="auto"/>
        <w:ind w:left="360"/>
      </w:pPr>
      <w:r>
        <w:rPr>
          <w:rFonts w:ascii="Segoe UI" w:hAnsi="Segoe UI"/>
          <w:b/>
          <w:color w:val="1F2937"/>
          <w:sz w:val="19"/>
        </w:rPr>
        <w:t xml:space="preserve">3. </w:t>
      </w:r>
      <w:r>
        <w:rPr>
          <w:rFonts w:ascii="Segoe UI" w:hAnsi="Segoe UI"/>
          <w:color w:val="1F2937"/>
          <w:sz w:val="19"/>
        </w:rPr>
        <w:t>Revisión humana real del 100% en fase inicial: no automatizar lo que no se puede verificar.</w:t>
      </w:r>
    </w:p>
    <w:p>
      <w:pPr>
        <w:pStyle w:val="ListBullet"/>
        <w:spacing w:after="60" w:before="0" w:line="276" w:lineRule="auto"/>
        <w:ind w:left="360"/>
      </w:pPr>
      <w:r>
        <w:rPr>
          <w:rFonts w:ascii="Segoe UI" w:hAnsi="Segoe UI"/>
          <w:b/>
          <w:color w:val="1F2937"/>
          <w:sz w:val="19"/>
        </w:rPr>
        <w:t xml:space="preserve">4. </w:t>
      </w:r>
      <w:r>
        <w:rPr>
          <w:rFonts w:ascii="Segoe UI" w:hAnsi="Segoe UI"/>
          <w:color w:val="1F2937"/>
          <w:sz w:val="19"/>
        </w:rPr>
        <w:t>Modelo de ingresos B2B/institucional que sostenga la gratuidad retail: sin eso, el proyecto no es financieramente sostenible a largo plazo.</w:t>
      </w:r>
    </w:p>
    <w:p>
      <w:pPr>
        <w:keepNext/>
        <w:spacing w:before="320" w:after="120"/>
      </w:pPr>
      <w:r>
        <w:rPr>
          <w:rFonts w:ascii="Segoe UI" w:hAnsi="Segoe UI"/>
          <w:b/>
          <w:color w:val="0B2545"/>
          <w:sz w:val="28"/>
        </w:rPr>
        <w:t>CAPÍTULO 14. NECESIDAD DE ASESORÍA LEGAL ENTORNO AL PROYECTO CON EL INFORME DE DESCARGA DE TODA LA DOCUMENTACIÓN LEGAL DE LAS BOLSAS EUROPEAS</w:t>
      </w:r>
    </w:p>
    <w:p>
      <w:pPr>
        <w:spacing w:after="80" w:before="0" w:line="276" w:lineRule="auto"/>
      </w:pPr>
      <w:r>
        <w:rPr>
          <w:rFonts w:ascii="Segoe UI" w:hAnsi="Segoe UI"/>
          <w:i w:val="0"/>
          <w:color w:val="1F2937"/>
          <w:sz w:val="19"/>
        </w:rPr>
        <w:t>La viabilidad jurídica y comercial de STATER / REX no descansa en suposiciones, sino en un proceso estructurado de auditoría contractual y recopilación documental directa de los términos de servicio, contratos de distribución de datos (Market Data Vendor Agreements) y condiciones de acceso de los repositorios oficiales europeos.</w:t>
      </w:r>
    </w:p>
    <w:p>
      <w:pPr>
        <w:keepNext/>
        <w:spacing w:before="240" w:after="80"/>
      </w:pPr>
      <w:r>
        <w:rPr>
          <w:rFonts w:ascii="Segoe UI" w:hAnsi="Segoe UI"/>
          <w:b/>
          <w:color w:val="134074"/>
          <w:sz w:val="23"/>
        </w:rPr>
        <w:t>14.1. Fuentes Oficiales y Repositorios Clave de Descarga</w:t>
      </w:r>
    </w:p>
    <w:p>
      <w:pPr>
        <w:spacing w:after="80" w:before="0" w:line="276" w:lineRule="auto"/>
      </w:pPr>
      <w:r>
        <w:rPr>
          <w:rFonts w:ascii="Segoe UI" w:hAnsi="Segoe UI"/>
          <w:i w:val="0"/>
          <w:color w:val="1F2937"/>
          <w:sz w:val="19"/>
        </w:rPr>
        <w:t>Para estructurar de forma autónoma, verificable e inatacable el marco de reutilización de datos, la plataforma se nutre de los siguientes mecanismos de acceso y sus portales legales correspondientes:</w:t>
      </w:r>
    </w:p>
    <w:tbl>
      <w:tblPr>
        <w:tblW w:type="auto" w:w="0"/>
        <w:jc w:val="center"/>
        <w:tblLayout w:type="fixed"/>
        <w:tblLook w:firstColumn="1" w:firstRow="1" w:lastColumn="0" w:lastRow="0" w:noHBand="0" w:noVBand="1" w:val="04A0"/>
      </w:tblPr>
      <w:tblGrid>
        <w:gridCol w:w="2329"/>
        <w:gridCol w:w="2329"/>
        <w:gridCol w:w="2329"/>
        <w:gridCol w:w="2329"/>
      </w:tblGrid>
      <w:tr>
        <w:trPr>
          <w:tblHeader/>
          <w:cantSplit/>
        </w:trPr>
        <w:tc>
          <w:tcPr>
            <w:tcW w:type="dxa" w:w="2016"/>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Jurisdicción / Ámbito</w:t>
            </w:r>
          </w:p>
        </w:tc>
        <w:tc>
          <w:tcPr>
            <w:tcW w:type="dxa" w:w="2880"/>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Organismo / Mecanismo</w:t>
            </w:r>
          </w:p>
        </w:tc>
        <w:tc>
          <w:tcPr>
            <w:tcW w:type="dxa" w:w="259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Tipo de Entidad</w:t>
            </w:r>
          </w:p>
        </w:tc>
        <w:tc>
          <w:tcPr>
            <w:tcW w:type="dxa" w:w="2880"/>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Portal y Enlace Oficial de Documentación / Descarga</w:t>
            </w:r>
          </w:p>
        </w:tc>
      </w:tr>
      <w:tr>
        <w:trPr>
          <w:cantSplit/>
        </w:trPr>
        <w:tc>
          <w:tcPr>
            <w:tcW w:type="dxa" w:w="201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España</w:t>
            </w:r>
          </w:p>
        </w:tc>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CNMV (Comisión Nacional del Mercado de Valores)</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OAM Público Regulador</w:t>
            </w:r>
          </w:p>
        </w:tc>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IPP e Informes Financieros Anuales / Directorio ESEF/XBRL</w:t>
            </w:r>
          </w:p>
        </w:tc>
      </w:tr>
      <w:tr>
        <w:trPr>
          <w:cantSplit/>
        </w:trPr>
        <w:tc>
          <w:tcPr>
            <w:tcW w:type="dxa" w:w="201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España (Mercados)</w:t>
            </w:r>
          </w:p>
        </w:tc>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BME (Bolsas y Mercados Españoles)</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Operador de Mercado Privado</w:t>
            </w:r>
          </w:p>
        </w:tc>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BME Market Data — Condiciones de Difusión</w:t>
            </w:r>
          </w:p>
        </w:tc>
      </w:tr>
      <w:tr>
        <w:trPr>
          <w:cantSplit/>
        </w:trPr>
        <w:tc>
          <w:tcPr>
            <w:tcW w:type="dxa" w:w="201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Francia</w:t>
            </w:r>
          </w:p>
        </w:tc>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AMF / data.gouv.fr (API info-financière)</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OAM Público Regulador</w:t>
            </w:r>
          </w:p>
        </w:tc>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API info-financière data.gouv</w:t>
            </w:r>
          </w:p>
        </w:tc>
      </w:tr>
      <w:tr>
        <w:trPr>
          <w:cantSplit/>
        </w:trPr>
        <w:tc>
          <w:tcPr>
            <w:tcW w:type="dxa" w:w="201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Francia / Pan-UE</w:t>
            </w:r>
          </w:p>
        </w:tc>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Euronext (París, Ámsterdam, Milán, Bruselas)</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Operador de Mercado Privado</w:t>
            </w:r>
          </w:p>
        </w:tc>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Euronext Market Data Agreement (MDA)</w:t>
            </w:r>
          </w:p>
        </w:tc>
      </w:tr>
      <w:tr>
        <w:trPr>
          <w:cantSplit/>
        </w:trPr>
        <w:tc>
          <w:tcPr>
            <w:tcW w:type="dxa" w:w="201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Alemania</w:t>
            </w:r>
          </w:p>
        </w:tc>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Unternehmensregister / Bundesanzeiger</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OAM / Registro Federal</w:t>
            </w:r>
          </w:p>
        </w:tc>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Unternehmensregister Portal</w:t>
            </w:r>
          </w:p>
        </w:tc>
      </w:tr>
      <w:tr>
        <w:trPr>
          <w:cantSplit/>
        </w:trPr>
        <w:tc>
          <w:tcPr>
            <w:tcW w:type="dxa" w:w="201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Alemania (Bolsa)</w:t>
            </w:r>
          </w:p>
        </w:tc>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Deutsche Börse / Xetra</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Operador de Mercado Privado</w:t>
            </w:r>
          </w:p>
        </w:tc>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Deutsche Börse Market Data Agreement (MDDA)</w:t>
            </w:r>
          </w:p>
        </w:tc>
      </w:tr>
      <w:tr>
        <w:trPr>
          <w:cantSplit/>
        </w:trPr>
        <w:tc>
          <w:tcPr>
            <w:tcW w:type="dxa" w:w="201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Italia</w:t>
            </w:r>
          </w:p>
        </w:tc>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CONSOB / 1INFO (Computershare)</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OAM / Almacenamiento Autorizado</w:t>
            </w:r>
          </w:p>
        </w:tc>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1INFO SDIR Storage Mechanism</w:t>
            </w:r>
          </w:p>
        </w:tc>
      </w:tr>
      <w:tr>
        <w:trPr>
          <w:cantSplit/>
        </w:trPr>
        <w:tc>
          <w:tcPr>
            <w:tcW w:type="dxa" w:w="201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Países Bajos</w:t>
            </w:r>
          </w:p>
        </w:tc>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AFM (Autoriteit Financiële Markten)</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OAM Público Regulador</w:t>
            </w:r>
          </w:p>
        </w:tc>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AFM Register Geanonimiseerd</w:t>
            </w:r>
          </w:p>
        </w:tc>
      </w:tr>
      <w:tr>
        <w:trPr>
          <w:cantSplit/>
        </w:trPr>
        <w:tc>
          <w:tcPr>
            <w:tcW w:type="dxa" w:w="201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Pan-Europeo (ESEF)</w:t>
            </w:r>
          </w:p>
        </w:tc>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filings.xbrl.org</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Repositorio Abierto iXBRL</w:t>
            </w:r>
          </w:p>
        </w:tc>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filings.xbrl.org API &amp; Viewer</w:t>
            </w:r>
          </w:p>
        </w:tc>
      </w:tr>
      <w:tr>
        <w:trPr>
          <w:cantSplit/>
        </w:trPr>
        <w:tc>
          <w:tcPr>
            <w:tcW w:type="dxa" w:w="201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Pan-Europeo (LEI)</w:t>
            </w:r>
          </w:p>
        </w:tc>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GLEIF (Global Legal Entity Identifier Foundation)</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Fundación Internacional Pública</w:t>
            </w:r>
          </w:p>
        </w:tc>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GLEIF API &amp; Golden Copy CC-BY 4.0</w:t>
            </w:r>
          </w:p>
        </w:tc>
      </w:tr>
      <w:tr>
        <w:trPr>
          <w:cantSplit/>
        </w:trPr>
        <w:tc>
          <w:tcPr>
            <w:tcW w:type="dxa" w:w="2016"/>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Pan-Europeo (FIRDS)</w:t>
            </w:r>
          </w:p>
        </w:tc>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ESMA (Financial Instruments Reference Data System)</w:t>
            </w:r>
          </w:p>
        </w:tc>
        <w:tc>
          <w:tcPr>
            <w:tcW w:type="dxa" w:w="259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Regulador UE</w:t>
            </w:r>
          </w:p>
        </w:tc>
        <w:tc>
          <w:tcPr>
            <w:tcW w:type="dxa" w:w="2880"/>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ESMA FIRDS Database</w:t>
            </w:r>
          </w:p>
        </w:tc>
      </w:tr>
      <w:tr>
        <w:trPr>
          <w:cantSplit/>
        </w:trPr>
        <w:tc>
          <w:tcPr>
            <w:tcW w:type="dxa" w:w="2016"/>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Pan-Europeo (Futuro)</w:t>
            </w:r>
          </w:p>
        </w:tc>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ESAP (European Single Access Point)</w:t>
            </w:r>
          </w:p>
        </w:tc>
        <w:tc>
          <w:tcPr>
            <w:tcW w:type="dxa" w:w="259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Plataforma Oficial UE</w:t>
            </w:r>
          </w:p>
        </w:tc>
        <w:tc>
          <w:tcPr>
            <w:tcW w:type="dxa" w:w="2880"/>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ESAP Portal ESMA (Reg. 2023/2859)</w:t>
            </w:r>
          </w:p>
        </w:tc>
      </w:tr>
    </w:tbl>
    <w:p>
      <w:pPr>
        <w:spacing w:after="80"/>
      </w:pPr>
    </w:p>
    <w:p>
      <w:pPr>
        <w:keepNext/>
        <w:spacing w:before="240" w:after="80"/>
      </w:pPr>
      <w:r>
        <w:rPr>
          <w:rFonts w:ascii="Segoe UI" w:hAnsi="Segoe UI"/>
          <w:b/>
          <w:color w:val="134074"/>
          <w:sz w:val="23"/>
        </w:rPr>
        <w:t>14.2. Matriz de Auditoría Contractual Previa</w:t>
      </w:r>
    </w:p>
    <w:p>
      <w:pPr>
        <w:spacing w:after="80" w:before="0" w:line="276" w:lineRule="auto"/>
      </w:pPr>
      <w:r>
        <w:rPr>
          <w:rFonts w:ascii="Segoe UI" w:hAnsi="Segoe UI"/>
          <w:i w:val="0"/>
          <w:color w:val="1F2937"/>
          <w:sz w:val="19"/>
        </w:rPr>
        <w:t>Con la descarga de toda la documentación legal de estos 12 organismos, el fundador y el equipo legal elaboran el Informe de Dictamen y Cumplimiento Normativo, auditando de forma empírica:</w:t>
      </w:r>
    </w:p>
    <w:p>
      <w:pPr>
        <w:pStyle w:val="ListBullet"/>
        <w:spacing w:after="60" w:before="0" w:line="276" w:lineRule="auto"/>
        <w:ind w:left="360"/>
      </w:pPr>
      <w:r>
        <w:rPr>
          <w:rFonts w:ascii="Segoe UI" w:hAnsi="Segoe UI"/>
          <w:b/>
          <w:color w:val="1F2937"/>
          <w:sz w:val="19"/>
        </w:rPr>
        <w:t xml:space="preserve">1. Cláusula de Obra Derivada (Derived Data): </w:t>
      </w:r>
      <w:r>
        <w:rPr>
          <w:rFonts w:ascii="Segoe UI" w:hAnsi="Segoe UI"/>
          <w:color w:val="1F2937"/>
          <w:sz w:val="19"/>
        </w:rPr>
        <w:t>Ratificación de que los ratios calculados (ROE, P/B, Intrinsic Value Score) no constituyen redistribución de feed bruto en tiempo real.</w:t>
      </w:r>
    </w:p>
    <w:p>
      <w:pPr>
        <w:pStyle w:val="ListBullet"/>
        <w:spacing w:after="60" w:before="0" w:line="276" w:lineRule="auto"/>
        <w:ind w:left="360"/>
      </w:pPr>
      <w:r>
        <w:rPr>
          <w:rFonts w:ascii="Segoe UI" w:hAnsi="Segoe UI"/>
          <w:b/>
          <w:color w:val="1F2937"/>
          <w:sz w:val="19"/>
        </w:rPr>
        <w:t xml:space="preserve">2. Uso de Datos Diferidos (Delayed Data 15 min): </w:t>
      </w:r>
      <w:r>
        <w:rPr>
          <w:rFonts w:ascii="Segoe UI" w:hAnsi="Segoe UI"/>
          <w:color w:val="1F2937"/>
          <w:sz w:val="19"/>
        </w:rPr>
        <w:t>Verificación de las licencias display gratuitas para consulta web pública.</w:t>
      </w:r>
    </w:p>
    <w:p>
      <w:pPr>
        <w:pStyle w:val="ListBullet"/>
        <w:spacing w:after="60" w:before="0" w:line="276" w:lineRule="auto"/>
        <w:ind w:left="360"/>
      </w:pPr>
      <w:r>
        <w:rPr>
          <w:rFonts w:ascii="Segoe UI" w:hAnsi="Segoe UI"/>
          <w:b/>
          <w:color w:val="1F2937"/>
          <w:sz w:val="19"/>
        </w:rPr>
        <w:t xml:space="preserve">3. Derecho Sui Generis sobre Bases de Datos (Directiva 96/9/CE): </w:t>
      </w:r>
      <w:r>
        <w:rPr>
          <w:rFonts w:ascii="Segoe UI" w:hAnsi="Segoe UI"/>
          <w:color w:val="1F2937"/>
          <w:sz w:val="19"/>
        </w:rPr>
        <w:t>Protección de la inversión en el data lake normalizado de STATER.</w:t>
      </w:r>
    </w:p>
    <w:p>
      <w:pPr>
        <w:pStyle w:val="ListBullet"/>
        <w:spacing w:after="60" w:before="0" w:line="276" w:lineRule="auto"/>
        <w:ind w:left="360"/>
      </w:pPr>
      <w:r>
        <w:rPr>
          <w:rFonts w:ascii="Segoe UI" w:hAnsi="Segoe UI"/>
          <w:b/>
          <w:color w:val="1F2937"/>
          <w:sz w:val="19"/>
        </w:rPr>
        <w:t xml:space="preserve">4. Minimización de Datos de Directivos (RGPD): </w:t>
      </w:r>
      <w:r>
        <w:rPr>
          <w:rFonts w:ascii="Segoe UI" w:hAnsi="Segoe UI"/>
          <w:color w:val="1F2937"/>
          <w:sz w:val="19"/>
        </w:rPr>
        <w:t>Confirmación de que el tratamiento de datos de gobernanza extraídos de los IAGC oficiales se ajusta al interés legítimo y la publicidad registral mercantil.</w:t>
      </w:r>
    </w:p>
    <w:p>
      <w:pPr>
        <w:keepNext/>
        <w:spacing w:before="320" w:after="120"/>
      </w:pPr>
      <w:r>
        <w:rPr>
          <w:rFonts w:ascii="Segoe UI" w:hAnsi="Segoe UI"/>
          <w:b/>
          <w:color w:val="0B2545"/>
          <w:sz w:val="28"/>
        </w:rPr>
        <w:t>CAPÍTULO 15. DICTAMEN JURÍDICO-CONTRACTUAL DETALLADO POR FUENTE, RÉGIMEN DE DATOS DERIVADOS Y AUDITORÍA INTEGRAL DE STATER / REX</w:t>
      </w:r>
    </w:p>
    <w:p>
      <w:pPr>
        <w:spacing w:after="80" w:before="0" w:line="276" w:lineRule="auto"/>
      </w:pPr>
      <w:r>
        <w:rPr>
          <w:rFonts w:ascii="Segoe UI" w:hAnsi="Segoe UI"/>
          <w:i w:val="0"/>
          <w:color w:val="1F2937"/>
          <w:sz w:val="19"/>
        </w:rPr>
        <w:t>Este capítulo formaliza el dictamen jurídico, contable y técnico exhaustivo derivado del análisis directo de los documentos descargados en el repositorio DOCUMENTACION_LEGAL_BOLSAS_Y_OAMS, respondiendo con precisión a cada cuestión operativa y regulatoria.</w:t>
      </w:r>
    </w:p>
    <w:p>
      <w:pPr>
        <w:keepNext/>
        <w:spacing w:before="240" w:after="80"/>
      </w:pPr>
      <w:r>
        <w:rPr>
          <w:rFonts w:ascii="Segoe UI" w:hAnsi="Segoe UI"/>
          <w:b/>
          <w:color w:val="134074"/>
          <w:sz w:val="23"/>
        </w:rPr>
        <w:t>15.1. Matriz Jurídica Exhaustiva Fuente por Fuente</w:t>
      </w:r>
    </w:p>
    <w:tbl>
      <w:tblPr>
        <w:tblW w:type="auto" w:w="0"/>
        <w:jc w:val="center"/>
        <w:tblLayout w:type="fixed"/>
        <w:tblLook w:firstColumn="1" w:firstRow="1" w:lastColumn="0" w:lastRow="0" w:noHBand="0" w:noVBand="1" w:val="04A0"/>
      </w:tblPr>
      <w:tblGrid>
        <w:gridCol w:w="9317"/>
      </w:tblGrid>
      <w:tr>
        <w:tc>
          <w:tcPr>
            <w:tcW w:type="dxa" w:w="9317"/>
            <w:shd w:fill="F0F4F8"/>
            <w:tcMar>
              <w:top w:w="120" w:type="dxa"/>
              <w:bottom w:w="120" w:type="dxa"/>
              <w:left w:w="180" w:type="dxa"/>
              <w:right w:w="160" w:type="dxa"/>
            </w:tcMar>
            <w:tcBorders>
              <w:top w:val="none" w:sz="24" w:space="0" w:color="134074"/>
              <w:left w:val="single" w:sz="24" w:space="0" w:color="134074"/>
              <w:bottom w:val="none" w:sz="24" w:space="0" w:color="134074"/>
              <w:right w:val="none" w:sz="24" w:space="0" w:color="134074"/>
            </w:tcBorders>
          </w:tcPr>
          <w:p>
            <w:pPr>
              <w:spacing w:after="0" w:before="0" w:line="276" w:lineRule="auto"/>
            </w:pPr>
            <w:r>
              <w:rPr>
                <w:rFonts w:ascii="Segoe UI" w:hAnsi="Segoe UI"/>
                <w:b/>
                <w:color w:val="0B2545"/>
                <w:sz w:val="19"/>
              </w:rPr>
              <w:t>CLASIFICACIÓN DE CERTEZA DE REUTILIZACIÓN:</w:t>
              <w:br/>
            </w:r>
            <w:r>
              <w:rPr>
                <w:rFonts w:ascii="Segoe UI" w:hAnsi="Segoe UI"/>
                <w:color w:val="1F2937"/>
                <w:sz w:val="18"/>
              </w:rPr>
              <w:t>[A] AUTORIZADO EXPRESAMENTE · [B] AUTORIZADO CON CONDICIONES · [C] NO REGULADO CLARAMENTE · [D] REQUIERE CONTRATO/LICENCIA · [E] NO RECOMENDABLE</w:t>
            </w:r>
          </w:p>
        </w:tc>
      </w:tr>
    </w:tbl>
    <w:p>
      <w:pPr>
        <w:spacing w:before="0" w:after="80"/>
      </w:pPr>
    </w:p>
    <w:tbl>
      <w:tblPr>
        <w:tblW w:type="auto" w:w="0"/>
        <w:jc w:val="center"/>
        <w:tblLayout w:type="fixed"/>
        <w:tblLook w:firstColumn="1" w:firstRow="1" w:lastColumn="0" w:lastRow="0" w:noHBand="0" w:noVBand="1" w:val="04A0"/>
      </w:tblPr>
      <w:tblGrid>
        <w:gridCol w:w="932"/>
        <w:gridCol w:w="932"/>
        <w:gridCol w:w="932"/>
        <w:gridCol w:w="932"/>
        <w:gridCol w:w="932"/>
        <w:gridCol w:w="932"/>
        <w:gridCol w:w="932"/>
        <w:gridCol w:w="932"/>
        <w:gridCol w:w="932"/>
        <w:gridCol w:w="932"/>
      </w:tblGrid>
      <w:tr>
        <w:trPr>
          <w:tblHeader/>
          <w:cantSplit/>
        </w:trPr>
        <w:tc>
          <w:tcPr>
            <w:tcW w:type="dxa" w:w="115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Fuente / Organismo</w:t>
            </w:r>
          </w:p>
        </w:tc>
        <w:tc>
          <w:tcPr>
            <w:tcW w:type="dxa" w:w="115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Titular / Responsable</w:t>
            </w:r>
          </w:p>
        </w:tc>
        <w:tc>
          <w:tcPr>
            <w:tcW w:type="dxa" w:w="115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Tipo de Documento</w:t>
            </w:r>
          </w:p>
        </w:tc>
        <w:tc>
          <w:tcPr>
            <w:tcW w:type="dxa" w:w="1008"/>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Acceso</w:t>
            </w:r>
          </w:p>
        </w:tc>
        <w:tc>
          <w:tcPr>
            <w:tcW w:type="dxa" w:w="115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Licencia / Base Legal</w:t>
            </w:r>
          </w:p>
        </w:tc>
        <w:tc>
          <w:tcPr>
            <w:tcW w:type="dxa" w:w="115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Reutilización Comercial</w:t>
            </w:r>
          </w:p>
        </w:tc>
        <w:tc>
          <w:tcPr>
            <w:tcW w:type="dxa" w:w="115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Scraping / Descarga Masiva</w:t>
            </w:r>
          </w:p>
        </w:tc>
        <w:tc>
          <w:tcPr>
            <w:tcW w:type="dxa" w:w="1008"/>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Almacenamiento Interno</w:t>
            </w:r>
          </w:p>
        </w:tc>
        <w:tc>
          <w:tcPr>
            <w:tcW w:type="dxa" w:w="115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Redistribución Hechos / Metadatos</w:t>
            </w:r>
          </w:p>
        </w:tc>
        <w:tc>
          <w:tcPr>
            <w:tcW w:type="dxa" w:w="1008"/>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Cita Obligatoria</w:t>
            </w:r>
          </w:p>
        </w:tc>
      </w:tr>
      <w:tr>
        <w:trPr>
          <w:cantSplit/>
        </w:trPr>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CNMV (IPP / ESEF)</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CNMV (Estado Español)</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Informes anuales, ESEF XHTML, IAGC, IARC</w:t>
            </w:r>
          </w:p>
        </w:tc>
        <w:tc>
          <w:tcPr>
            <w:tcW w:type="dxa" w:w="100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Público y gratuito</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Ley 37/2007 (Reutilización Sector Público)</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 AUTORIZADO CON CONDICIONES</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Permitido respetando rate limits</w:t>
            </w:r>
          </w:p>
        </w:tc>
        <w:tc>
          <w:tcPr>
            <w:tcW w:type="dxa" w:w="100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AUTORIZADO EXPRESAMENTE</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 AUTORIZADO (Hechos y Ratios)</w:t>
            </w:r>
          </w:p>
        </w:tc>
        <w:tc>
          <w:tcPr>
            <w:tcW w:type="dxa" w:w="100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Sí (Citar "Fuente: CNMV / Registro")</w:t>
            </w:r>
          </w:p>
        </w:tc>
      </w:tr>
      <w:tr>
        <w:trPr>
          <w:cantSplit/>
        </w:trPr>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BME (Market Data)</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BME / SIX Group (Privado)</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Cotizaciones, cierres, volumen, índices</w:t>
            </w:r>
          </w:p>
        </w:tc>
        <w:tc>
          <w:tcPr>
            <w:tcW w:type="dxa" w:w="100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Público diferido / Comercial realtime</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BME Market Data Agreement (MDA)</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 REQUIERE CONTRATO (para feed bruto) / [A] para ratios derivados donde el precio no se reconstruye</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Restringido en web comercial</w:t>
            </w:r>
          </w:p>
        </w:tc>
        <w:tc>
          <w:tcPr>
            <w:tcW w:type="dxa" w:w="100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(Para cálculo interno)</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(Ratios calculados P/B)</w:t>
            </w:r>
          </w:p>
        </w:tc>
        <w:tc>
          <w:tcPr>
            <w:tcW w:type="dxa" w:w="100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Sí (Aviso de datos con 15m de retraso)</w:t>
            </w:r>
          </w:p>
        </w:tc>
      </w:tr>
      <w:tr>
        <w:trPr>
          <w:cantSplit/>
        </w:trPr>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AMF / data.gouv.fr</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República Francesa / AMF</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Filings ESEF, semestrales, gobierno</w:t>
            </w:r>
          </w:p>
        </w:tc>
        <w:tc>
          <w:tcPr>
            <w:tcW w:type="dxa" w:w="100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Público y gratuito (API)</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Licence Ouverte / Open Licence 2.0</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AUTORIZADO EXPRESAMENTE</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AUTORIZADO EXPRESAMENTE (API oficial)</w:t>
            </w:r>
          </w:p>
        </w:tc>
        <w:tc>
          <w:tcPr>
            <w:tcW w:type="dxa" w:w="100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AUTORIZADO EXPRESAMENTE</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AUTORIZADO EXPRESAMENTE</w:t>
            </w:r>
          </w:p>
        </w:tc>
        <w:tc>
          <w:tcPr>
            <w:tcW w:type="dxa" w:w="100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Sí (Mención estándar Licence Ouverte)</w:t>
            </w:r>
          </w:p>
        </w:tc>
      </w:tr>
      <w:tr>
        <w:trPr>
          <w:cantSplit/>
        </w:trPr>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Euronext</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Euronext N.V. (Privado)</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Precios, listados, Market Data</w:t>
            </w:r>
          </w:p>
        </w:tc>
        <w:tc>
          <w:tcPr>
            <w:tcW w:type="dxa" w:w="100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Comercial / Web display diferido</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Euronext MDA Terms &amp; Conditions</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 para redistribución de precios brutos / [A] para Derived Data</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Prohibido scraping masivo web</w:t>
            </w:r>
          </w:p>
        </w:tc>
        <w:tc>
          <w:tcPr>
            <w:tcW w:type="dxa" w:w="100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(Uso analítico interno)</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(Métricas derivadas irreversibles)</w:t>
            </w:r>
          </w:p>
        </w:tc>
        <w:tc>
          <w:tcPr>
            <w:tcW w:type="dxa" w:w="100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Sí (Disclaimer de no afiliación)</w:t>
            </w:r>
          </w:p>
        </w:tc>
      </w:tr>
      <w:tr>
        <w:trPr>
          <w:cantSplit/>
        </w:trPr>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Unternehmensregister</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Bundesanzeiger Verlag (Alemania)</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Cuentas HGB, balances, ESEF</w:t>
            </w:r>
          </w:p>
        </w:tc>
        <w:tc>
          <w:tcPr>
            <w:tcW w:type="dxa" w:w="100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Público (algunos depósitos de pago)</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Ley alemana de reutilización (IWG)</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 AUTORIZADO CON CONDICIONES</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Sujeto a condiciones AGB</w:t>
            </w:r>
          </w:p>
        </w:tc>
        <w:tc>
          <w:tcPr>
            <w:tcW w:type="dxa" w:w="100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AUTORIZADO EXPRESAMENTE</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 AUTORIZADO (Datos transformados)</w:t>
            </w:r>
          </w:p>
        </w:tc>
        <w:tc>
          <w:tcPr>
            <w:tcW w:type="dxa" w:w="100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Sí (Citar Bundesanzeiger / UReg)</w:t>
            </w:r>
          </w:p>
        </w:tc>
      </w:tr>
      <w:tr>
        <w:trPr>
          <w:cantSplit/>
        </w:trPr>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CONSOB / 1INFO</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Computershare / CONSOB</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Informes ESEF, comunicados SDIR</w:t>
            </w:r>
          </w:p>
        </w:tc>
        <w:tc>
          <w:tcPr>
            <w:tcW w:type="dxa" w:w="100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Público regulado</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Directiva Transparencia UE</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 AUTORIZADO CON CONDICIONES</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Técnico respetando rate limit</w:t>
            </w:r>
          </w:p>
        </w:tc>
        <w:tc>
          <w:tcPr>
            <w:tcW w:type="dxa" w:w="100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AUTORIZADO EXPRESAMENTE</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 AUTORIZADO (Hechos normalizados)</w:t>
            </w:r>
          </w:p>
        </w:tc>
        <w:tc>
          <w:tcPr>
            <w:tcW w:type="dxa" w:w="100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Sí (Citar 1INFO / CONSOB)</w:t>
            </w:r>
          </w:p>
        </w:tc>
      </w:tr>
      <w:tr>
        <w:trPr>
          <w:cantSplit/>
        </w:trPr>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AFM Register</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AFM (Países Bajos)</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Registros financieros y folletos</w:t>
            </w:r>
          </w:p>
        </w:tc>
        <w:tc>
          <w:tcPr>
            <w:tcW w:type="dxa" w:w="100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Público y gratuito</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Wft / Open Data Holanda</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 AUTORIZADO CON CONDICIONES</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Permitido técnico</w:t>
            </w:r>
          </w:p>
        </w:tc>
        <w:tc>
          <w:tcPr>
            <w:tcW w:type="dxa" w:w="100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AUTORIZADO EXPRESAMENTE</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[B] AUTORIZADO (Hechos transformados)</w:t>
            </w:r>
          </w:p>
        </w:tc>
        <w:tc>
          <w:tcPr>
            <w:tcW w:type="dxa" w:w="100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Sí (Citar AFM)</w:t>
            </w:r>
          </w:p>
        </w:tc>
      </w:tr>
      <w:tr>
        <w:trPr>
          <w:cantSplit/>
        </w:trPr>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GLEIF</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GLEIF (Internacional)</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Master LEI, ISIN, relaciones grupo</w:t>
            </w:r>
          </w:p>
        </w:tc>
        <w:tc>
          <w:tcPr>
            <w:tcW w:type="dxa" w:w="100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Público y gratuito (API/Bulk)</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Creative Commons CC-BY 4.0</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AUTORIZADO EXPRESAMENTE</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AUTORIZADO EXPRESAMENTE</w:t>
            </w:r>
          </w:p>
        </w:tc>
        <w:tc>
          <w:tcPr>
            <w:tcW w:type="dxa" w:w="100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AUTORIZADO EXPRESAMENTE</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AUTORIZADO EXPRESAMENTE</w:t>
            </w:r>
          </w:p>
        </w:tc>
        <w:tc>
          <w:tcPr>
            <w:tcW w:type="dxa" w:w="100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Sí (Citar "Datos LEI cortesía de GLEIF")</w:t>
            </w:r>
          </w:p>
        </w:tc>
      </w:tr>
      <w:tr>
        <w:trPr>
          <w:cantSplit/>
        </w:trPr>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filings.xbrl.org</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XBRL International</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Filings ESEF iXBRL y xBRL-JSON</w:t>
            </w:r>
          </w:p>
        </w:tc>
        <w:tc>
          <w:tcPr>
            <w:tcW w:type="dxa" w:w="100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Público y gratuito (API)</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Open XBRL Policy</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AUTORIZADO EXPRESAMENTE</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AUTORIZADO EXPRESAMENTE (API)</w:t>
            </w:r>
          </w:p>
        </w:tc>
        <w:tc>
          <w:tcPr>
            <w:tcW w:type="dxa" w:w="100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AUTORIZADO EXPRESAMENTE</w:t>
            </w:r>
          </w:p>
        </w:tc>
        <w:tc>
          <w:tcPr>
            <w:tcW w:type="dxa" w:w="115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AUTORIZADO EXPRESAMENTE</w:t>
            </w:r>
          </w:p>
        </w:tc>
        <w:tc>
          <w:tcPr>
            <w:tcW w:type="dxa" w:w="100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Sí (Citar filings.xbrl.org)</w:t>
            </w:r>
          </w:p>
        </w:tc>
      </w:tr>
      <w:tr>
        <w:trPr>
          <w:cantSplit/>
        </w:trPr>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ESMA (FIRDS / ESAP)</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Unión Europea / ESMA</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Instrumentos cotizados, ESAP</w:t>
            </w:r>
          </w:p>
        </w:tc>
        <w:tc>
          <w:tcPr>
            <w:tcW w:type="dxa" w:w="100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Público oficial UE</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Directiva (UE) 2019/1024</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AUTORIZADO EXPRESAMENTE</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AUTORIZADO EXPRESAMENTE</w:t>
            </w:r>
          </w:p>
        </w:tc>
        <w:tc>
          <w:tcPr>
            <w:tcW w:type="dxa" w:w="100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AUTORIZADO EXPRESAMENTE</w:t>
            </w:r>
          </w:p>
        </w:tc>
        <w:tc>
          <w:tcPr>
            <w:tcW w:type="dxa" w:w="115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[A] AUTORIZADO EXPRESAMENTE</w:t>
            </w:r>
          </w:p>
        </w:tc>
        <w:tc>
          <w:tcPr>
            <w:tcW w:type="dxa" w:w="100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Sí (Aviso oficial Unión Europea)</w:t>
            </w:r>
          </w:p>
        </w:tc>
      </w:tr>
    </w:tbl>
    <w:p>
      <w:pPr>
        <w:spacing w:after="80"/>
      </w:pPr>
    </w:p>
    <w:p>
      <w:pPr>
        <w:keepNext/>
        <w:spacing w:before="240" w:after="80"/>
      </w:pPr>
      <w:r>
        <w:rPr>
          <w:rFonts w:ascii="Segoe UI" w:hAnsi="Segoe UI"/>
          <w:b/>
          <w:color w:val="134074"/>
          <w:sz w:val="23"/>
        </w:rPr>
        <w:t>15.2. Régimen Legal de los Datos Originales: Los Cuatro Niveles de Tratamiento</w:t>
      </w:r>
    </w:p>
    <w:p>
      <w:pPr>
        <w:spacing w:after="80" w:before="0" w:line="276" w:lineRule="auto"/>
      </w:pPr>
      <w:r>
        <w:rPr>
          <w:rFonts w:ascii="Segoe UI" w:hAnsi="Segoe UI"/>
          <w:i w:val="0"/>
          <w:color w:val="1F2937"/>
          <w:sz w:val="19"/>
        </w:rPr>
        <w:t>Es jurídicamente imperativo distinguir cuatro actividades operativas con diferente tratamiento legal:</w:t>
      </w:r>
    </w:p>
    <w:tbl>
      <w:tblPr>
        <w:tblW w:type="auto" w:w="0"/>
        <w:jc w:val="center"/>
        <w:tblLayout w:type="fixed"/>
        <w:tblLook w:firstColumn="1" w:firstRow="1" w:lastColumn="0" w:lastRow="0" w:noHBand="0" w:noVBand="1" w:val="04A0"/>
      </w:tblPr>
      <w:tblGrid>
        <w:gridCol w:w="3106"/>
        <w:gridCol w:w="3106"/>
        <w:gridCol w:w="3106"/>
      </w:tblGrid>
      <w:tr>
        <w:trPr>
          <w:tblHeader/>
          <w:cantSplit/>
        </w:trPr>
        <w:tc>
          <w:tcPr>
            <w:tcW w:type="dxa" w:w="331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NIVEL DE ACTIVIDAD</w:t>
            </w:r>
          </w:p>
        </w:tc>
        <w:tc>
          <w:tcPr>
            <w:tcW w:type="dxa" w:w="331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CALIFICACIÓN JURÍDICA</w:t>
            </w:r>
          </w:p>
        </w:tc>
        <w:tc>
          <w:tcPr>
            <w:tcW w:type="dxa" w:w="3744"/>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CONDICIÓN OPERATIVA EN STATER / REX</w:t>
            </w:r>
          </w:p>
        </w:tc>
      </w:tr>
      <w:tr>
        <w:trPr>
          <w:cantSplit/>
        </w:trPr>
        <w:tc>
          <w:tcPr>
            <w:tcW w:type="dxa" w:w="331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Nivel 1: Almacenamiento Interno Trazabilidad</w:t>
              <w:br/>
              <w:t>(Backups inmutables en servidor privado)</w:t>
            </w:r>
          </w:p>
        </w:tc>
        <w:tc>
          <w:tcPr>
            <w:tcW w:type="dxa" w:w="331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PLENAMENTE LÍCITO</w:t>
              <w:br/>
              <w:t>(Deber de diligencia/auditoría)</w:t>
            </w:r>
          </w:p>
        </w:tc>
        <w:tc>
          <w:tcPr>
            <w:tcW w:type="dxa" w:w="3744"/>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Custodia de PDFs/XHTML con SHA-256 en MinIO/S3 para auditoría interna y QA.</w:t>
            </w:r>
          </w:p>
        </w:tc>
      </w:tr>
      <w:tr>
        <w:trPr>
          <w:cantSplit/>
        </w:trPr>
        <w:tc>
          <w:tcPr>
            <w:tcW w:type="dxa" w:w="331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Nivel 2: Visualización en Portal Propio</w:t>
              <w:br/>
              <w:t>(Resúmenes, extractos breves, metadatos)</w:t>
            </w:r>
          </w:p>
        </w:tc>
        <w:tc>
          <w:tcPr>
            <w:tcW w:type="dxa" w:w="331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DERECHO DE CITA PROPORCIONAL Y RESÚMENES PROPIOS</w:t>
            </w:r>
          </w:p>
        </w:tc>
        <w:tc>
          <w:tcPr>
            <w:tcW w:type="dxa" w:w="3744"/>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El derecho de cita (Art. 32 LPI) no autoriza reproducir páginas completas. Se prioriza: Enlace original + Título KAM + Resumen propio + Fragmento breve + Hash.</w:t>
            </w:r>
          </w:p>
        </w:tc>
      </w:tr>
      <w:tr>
        <w:trPr>
          <w:cantSplit/>
        </w:trPr>
        <w:tc>
          <w:tcPr>
            <w:tcW w:type="dxa" w:w="331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Nivel 3: Acceso al Documento por el Usuario</w:t>
              <w:br/>
              <w:t>(Descarga del informe anual por el cliente)</w:t>
            </w:r>
          </w:p>
        </w:tc>
        <w:tc>
          <w:tcPr>
            <w:tcW w:type="dxa" w:w="331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RECOMENDADO VÍA ENLACE</w:t>
              <w:br/>
              <w:t>(Deep-linking oficial)</w:t>
            </w:r>
          </w:p>
        </w:tc>
        <w:tc>
          <w:tcPr>
            <w:tcW w:type="dxa" w:w="3744"/>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Ofrecer enlace directo al OAM oficial; entrega directa solo de datos procesados.</w:t>
            </w:r>
          </w:p>
        </w:tc>
      </w:tr>
      <w:tr>
        <w:trPr>
          <w:cantSplit/>
        </w:trPr>
        <w:tc>
          <w:tcPr>
            <w:tcW w:type="dxa" w:w="331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Nivel 4: Redistribución Comercial Masiva</w:t>
              <w:br/>
              <w:t>(Venta de archivos brutos sin transformar)</w:t>
            </w:r>
          </w:p>
        </w:tc>
        <w:tc>
          <w:tcPr>
            <w:tcW w:type="dxa" w:w="331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PROHIBIDO PARA PDF BRUTOS</w:t>
              <w:br/>
              <w:t>(Infracción propiedad emisor)</w:t>
            </w:r>
          </w:p>
        </w:tc>
        <w:tc>
          <w:tcPr>
            <w:tcW w:type="dxa" w:w="3744"/>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No vender "dumps de PDFs ajenos"; vender únicamente los datasets derivados.</w:t>
            </w:r>
          </w:p>
        </w:tc>
      </w:tr>
    </w:tbl>
    <w:p>
      <w:pPr>
        <w:spacing w:after="80"/>
      </w:pPr>
    </w:p>
    <w:p>
      <w:pPr>
        <w:keepNext/>
        <w:spacing w:before="240" w:after="80"/>
      </w:pPr>
      <w:r>
        <w:rPr>
          <w:rFonts w:ascii="Segoe UI" w:hAnsi="Segoe UI"/>
          <w:b/>
          <w:color w:val="134074"/>
          <w:sz w:val="23"/>
        </w:rPr>
        <w:t>15.3. Tratamiento Jurídico de los Datos Extraídos</w:t>
      </w:r>
    </w:p>
    <w:tbl>
      <w:tblPr>
        <w:tblW w:type="auto" w:w="0"/>
        <w:jc w:val="center"/>
        <w:tblLayout w:type="fixed"/>
        <w:tblLook w:firstColumn="1" w:firstRow="1" w:lastColumn="0" w:lastRow="0" w:noHBand="0" w:noVBand="1" w:val="04A0"/>
      </w:tblPr>
      <w:tblGrid>
        <w:gridCol w:w="3106"/>
        <w:gridCol w:w="3106"/>
        <w:gridCol w:w="3106"/>
      </w:tblGrid>
      <w:tr>
        <w:trPr>
          <w:tblHeader/>
          <w:cantSplit/>
        </w:trPr>
        <w:tc>
          <w:tcPr>
            <w:tcW w:type="dxa" w:w="3312"/>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CATEGORÍA DE DATO</w:t>
            </w:r>
          </w:p>
        </w:tc>
        <w:tc>
          <w:tcPr>
            <w:tcW w:type="dxa" w:w="3168"/>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¿COMERCIALIZABLE?</w:t>
            </w:r>
          </w:p>
        </w:tc>
        <w:tc>
          <w:tcPr>
            <w:tcW w:type="dxa" w:w="3888"/>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FUNDAMENTO JURÍDICO &amp; PROTECCIÓN</w:t>
            </w:r>
          </w:p>
        </w:tc>
      </w:tr>
      <w:tr>
        <w:trPr>
          <w:cantSplit/>
        </w:trPr>
        <w:tc>
          <w:tcPr>
            <w:tcW w:type="dxa" w:w="331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1. Hechos y Cifras Extraídas (Ingresos, Activos, Pasivos, Emisiones, Empleados)</w:t>
            </w:r>
          </w:p>
        </w:tc>
        <w:tc>
          <w:tcPr>
            <w:tcW w:type="dxa" w:w="31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Sujeto a Marco Legal de Extracción y Licencia</w:t>
            </w:r>
          </w:p>
        </w:tc>
        <w:tc>
          <w:tcPr>
            <w:tcW w:type="dxa" w:w="388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Los hechos y cifras pueden no estar protegidos como expresión original, pero su extracción, selección, presentación y reutilización pueden quedar afectadas por derechos de bases de datos o licencias.</w:t>
            </w:r>
          </w:p>
        </w:tc>
      </w:tr>
      <w:tr>
        <w:trPr>
          <w:cantSplit/>
        </w:trPr>
        <w:tc>
          <w:tcPr>
            <w:tcW w:type="dxa" w:w="331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2. Metadatos (LEI, ISIN, Ticker, Sector, País, Mercado, Fechas de Cierre)</w:t>
            </w:r>
          </w:p>
        </w:tc>
        <w:tc>
          <w:tcPr>
            <w:tcW w:type="dxa" w:w="316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SÍ (Bajo CC-BY 4.0 / Open)</w:t>
            </w:r>
          </w:p>
        </w:tc>
        <w:tc>
          <w:tcPr>
            <w:tcW w:type="dxa" w:w="388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Datos de referencia abiertos (GLEIF, ESMA FIRDS). Solo exigen atribución.</w:t>
            </w:r>
          </w:p>
        </w:tc>
      </w:tr>
      <w:tr>
        <w:trPr>
          <w:cantSplit/>
        </w:trPr>
        <w:tc>
          <w:tcPr>
            <w:tcW w:type="dxa" w:w="3312"/>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3. Cálculos Propios (ROE, ROA, Margen, Deuda/EBITDA, Intensidad de Emisiones)</w:t>
            </w:r>
          </w:p>
        </w:tc>
        <w:tc>
          <w:tcPr>
            <w:tcW w:type="dxa" w:w="316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SÍ (Propiedad de STATER)</w:t>
            </w:r>
          </w:p>
        </w:tc>
        <w:tc>
          <w:tcPr>
            <w:tcW w:type="dxa" w:w="3888"/>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Obra derivada algorítmica propia. No requiere licencia de la empresa emisora.</w:t>
            </w:r>
          </w:p>
        </w:tc>
      </w:tr>
      <w:tr>
        <w:trPr>
          <w:cantSplit/>
        </w:trPr>
        <w:tc>
          <w:tcPr>
            <w:tcW w:type="dxa" w:w="3312"/>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4. Interpretaciones (Score ESG propio, Clasificación SFI, Cestas, Riesgo de Opacidad)</w:t>
            </w:r>
          </w:p>
        </w:tc>
        <w:tc>
          <w:tcPr>
            <w:tcW w:type="dxa" w:w="316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SÍ (Propiedad de STATER)</w:t>
            </w:r>
          </w:p>
        </w:tc>
        <w:tc>
          <w:tcPr>
            <w:tcW w:type="dxa" w:w="3888"/>
            <w:shd w:fill="F8FAFC"/>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Creación analítica e intelectual propia, protegible por Secreto Empresarial y LPI.</w:t>
            </w:r>
          </w:p>
        </w:tc>
      </w:tr>
    </w:tbl>
    <w:p>
      <w:pPr>
        <w:spacing w:after="80"/>
      </w:pPr>
    </w:p>
    <w:p>
      <w:pPr>
        <w:keepNext/>
        <w:spacing w:before="240" w:after="80"/>
      </w:pPr>
      <w:r>
        <w:rPr>
          <w:rFonts w:ascii="Segoe UI" w:hAnsi="Segoe UI"/>
          <w:b/>
          <w:color w:val="134074"/>
          <w:sz w:val="23"/>
        </w:rPr>
        <w:t>15.4. Régimen Específico de Derived Data en BME y Euronext: Diferenciación de los 3 Productos</w:t>
      </w:r>
    </w:p>
    <w:tbl>
      <w:tblPr>
        <w:tblW w:type="auto" w:w="0"/>
        <w:jc w:val="center"/>
        <w:tblLayout w:type="fixed"/>
        <w:tblLook w:firstColumn="1" w:firstRow="1" w:lastColumn="0" w:lastRow="0" w:noHBand="0" w:noVBand="1" w:val="04A0"/>
      </w:tblPr>
      <w:tblGrid>
        <w:gridCol w:w="9317"/>
      </w:tblGrid>
      <w:tr>
        <w:tc>
          <w:tcPr>
            <w:tcW w:type="dxa" w:w="9317"/>
            <w:shd w:fill="0F172A"/>
            <w:tcMar>
              <w:top w:w="100" w:type="dxa"/>
              <w:bottom w:w="100" w:type="dxa"/>
              <w:left w:w="140" w:type="dxa"/>
              <w:right w:w="140" w:type="dxa"/>
            </w:tcMar>
            <w:tcBorders>
              <w:top w:val="single" w:sz="6" w:space="0" w:color="334155"/>
              <w:left w:val="single" w:sz="6" w:space="0" w:color="334155"/>
              <w:bottom w:val="single" w:sz="6" w:space="0" w:color="334155"/>
              <w:right w:val="single" w:sz="6" w:space="0" w:color="334155"/>
            </w:tcBorders>
          </w:tcPr>
          <w:p>
            <w:pPr>
              <w:spacing w:after="20" w:before="0" w:line="252" w:lineRule="auto"/>
            </w:pPr>
            <w:r>
              <w:rPr>
                <w:rFonts w:ascii="Consolas" w:hAnsi="Consolas"/>
                <w:color w:val="E2E8F0"/>
                <w:sz w:val="17"/>
              </w:rPr>
              <w:t>ANÁLISIS CONTRACTUAL DE PRODUCTOS</w:t>
            </w:r>
          </w:p>
          <w:p>
            <w:pPr>
              <w:spacing w:after="20" w:before="0" w:line="252" w:lineRule="auto"/>
            </w:pPr>
            <w:r>
              <w:rPr>
                <w:rFonts w:ascii="Consolas" w:hAnsi="Consolas"/>
                <w:color w:val="E2E8F0"/>
                <w:sz w:val="17"/>
              </w:rPr>
              <w:t>[PRODUCTO 1: ROE]             [PRODUCTO 2: P/B RATIO]          [PRODUCTO 3: SFI LAB SCORE]</w:t>
            </w:r>
          </w:p>
          <w:p>
            <w:pPr>
              <w:spacing w:after="20" w:before="0" w:line="252" w:lineRule="auto"/>
            </w:pPr>
            <w:r>
              <w:rPr>
                <w:rFonts w:ascii="Consolas" w:hAnsi="Consolas"/>
                <w:color w:val="E2E8F0"/>
                <w:sz w:val="17"/>
              </w:rPr>
              <w:t>┌─────────────────────────┐   ┌──────────────────────────┐   ┌─────────────────────────────┐</w:t>
            </w:r>
          </w:p>
          <w:p>
            <w:pPr>
              <w:spacing w:after="20" w:before="0" w:line="252" w:lineRule="auto"/>
            </w:pPr>
            <w:r>
              <w:rPr>
                <w:rFonts w:ascii="Consolas" w:hAnsi="Consolas"/>
                <w:color w:val="E2E8F0"/>
                <w:sz w:val="17"/>
              </w:rPr>
              <w:t>│ • Fuente: 100% OAMs     │   │ • Fuente: OAM + Precios  │   │ • Fuente: OAM + Algoritmo   │</w:t>
            </w:r>
          </w:p>
          <w:p>
            <w:pPr>
              <w:spacing w:after="20" w:before="0" w:line="252" w:lineRule="auto"/>
            </w:pPr>
            <w:r>
              <w:rPr>
                <w:rFonts w:ascii="Consolas" w:hAnsi="Consolas"/>
                <w:color w:val="E2E8F0"/>
                <w:sz w:val="17"/>
              </w:rPr>
              <w:t>│ • Datos: Balance y PyG  │   │ • Estado: Derived Data   │   │ • Estado: Software Analítico│</w:t>
            </w:r>
          </w:p>
          <w:p>
            <w:pPr>
              <w:spacing w:after="20" w:before="0" w:line="252" w:lineRule="auto"/>
            </w:pPr>
            <w:r>
              <w:rPr>
                <w:rFonts w:ascii="Consolas" w:hAnsi="Consolas"/>
                <w:color w:val="E2E8F0"/>
                <w:sz w:val="17"/>
              </w:rPr>
              <w:t>│ • Licencia Bolsa: NO    │   │ • Licencia Bolsa: EXENTO │   │ • Licencia Bolsa: NO        │</w:t>
            </w:r>
          </w:p>
          <w:p>
            <w:pPr>
              <w:spacing w:after="20" w:before="0" w:line="252" w:lineRule="auto"/>
            </w:pPr>
            <w:r>
              <w:rPr>
                <w:rFonts w:ascii="Consolas" w:hAnsi="Consolas"/>
                <w:color w:val="E2E8F0"/>
                <w:sz w:val="17"/>
              </w:rPr>
              <w:t>│   (Totalmente libre)    │   │   si no revierte precio  │   │   (Uso educativo/docente)   │</w:t>
            </w:r>
          </w:p>
          <w:p>
            <w:pPr>
              <w:spacing w:after="20" w:before="0" w:line="252" w:lineRule="auto"/>
            </w:pPr>
            <w:r>
              <w:rPr>
                <w:rFonts w:ascii="Consolas" w:hAnsi="Consolas"/>
                <w:color w:val="E2E8F0"/>
                <w:sz w:val="17"/>
              </w:rPr>
              <w:t>└─────────────────────────┘   └──────────────────────────┘   └─────────────────────────────┘</w:t>
            </w:r>
          </w:p>
        </w:tc>
      </w:tr>
    </w:tbl>
    <w:p>
      <w:pPr>
        <w:spacing w:after="80"/>
      </w:pPr>
    </w:p>
    <w:p>
      <w:pPr>
        <w:keepNext/>
        <w:spacing w:before="160" w:after="60"/>
      </w:pPr>
      <w:r>
        <w:rPr>
          <w:rFonts w:ascii="Segoe UI" w:hAnsi="Segoe UI"/>
          <w:b/>
          <w:color w:val="1F2937"/>
          <w:sz w:val="21"/>
        </w:rPr>
        <w:t>1. Producto 1: Ratios basados exclusivamente en estados financieros públicos (ej. ROE, Margen Operativo, Deuda/EBITDA)</w:t>
      </w:r>
    </w:p>
    <w:p>
      <w:pPr>
        <w:spacing w:after="80" w:before="0" w:line="276" w:lineRule="auto"/>
      </w:pPr>
      <w:r>
        <w:rPr>
          <w:rFonts w:ascii="Segoe UI" w:hAnsi="Segoe UI"/>
          <w:b/>
          <w:color w:val="1F2937"/>
          <w:sz w:val="19"/>
        </w:rPr>
        <w:t xml:space="preserve">• Conclusión Jurídica: </w:t>
      </w:r>
      <w:r>
        <w:rPr>
          <w:rFonts w:ascii="Segoe UI" w:hAnsi="Segoe UI"/>
          <w:i w:val="0"/>
          <w:color w:val="1F2937"/>
          <w:sz w:val="19"/>
        </w:rPr>
        <w:t>No utiliza directamente un feed de mercado, pero debe confirmarse la licencia de las fuentes documentales y de cualquier identificador o dato complementario.</w:t>
      </w:r>
    </w:p>
    <w:p>
      <w:pPr>
        <w:spacing w:after="80" w:before="0" w:line="276" w:lineRule="auto"/>
      </w:pPr>
      <w:r>
        <w:rPr>
          <w:rFonts w:ascii="Segoe UI" w:hAnsi="Segoe UI"/>
          <w:b/>
          <w:color w:val="1F2937"/>
          <w:sz w:val="19"/>
        </w:rPr>
        <w:t xml:space="preserve">• Motivo: </w:t>
      </w:r>
      <w:r>
        <w:rPr>
          <w:rFonts w:ascii="Segoe UI" w:hAnsi="Segoe UI"/>
          <w:i w:val="0"/>
          <w:color w:val="1F2937"/>
          <w:sz w:val="19"/>
        </w:rPr>
        <w:t>Los datos de origen provienen de OAMs oficiales (CNMV, AMF, Bundesanzeiger). Las bolsas de valores no tienen propiedad sobre los balances contables, pero su uso masivo requiere respetar las condiciones de reutilización pública.</w:t>
      </w:r>
    </w:p>
    <w:p>
      <w:pPr>
        <w:keepNext/>
        <w:spacing w:before="160" w:after="60"/>
      </w:pPr>
      <w:r>
        <w:rPr>
          <w:rFonts w:ascii="Segoe UI" w:hAnsi="Segoe UI"/>
          <w:b/>
          <w:color w:val="1F2937"/>
          <w:sz w:val="21"/>
        </w:rPr>
        <w:t>2. Producto 2: Ratios que combinan estados contables con precios de mercado (ej. Price-to-Book P/B, EV/EBITDA)</w:t>
      </w:r>
    </w:p>
    <w:p>
      <w:pPr>
        <w:spacing w:after="80" w:before="0" w:line="276" w:lineRule="auto"/>
      </w:pPr>
      <w:r>
        <w:rPr>
          <w:rFonts w:ascii="Segoe UI" w:hAnsi="Segoe UI"/>
          <w:b/>
          <w:color w:val="1F2937"/>
          <w:sz w:val="19"/>
        </w:rPr>
        <w:t xml:space="preserve">• Conclusión Jurídica: </w:t>
      </w:r>
      <w:r>
        <w:rPr>
          <w:rFonts w:ascii="Segoe UI" w:hAnsi="Segoe UI"/>
          <w:i w:val="0"/>
          <w:color w:val="1F2937"/>
          <w:sz w:val="19"/>
        </w:rPr>
        <w:t>Potencialmente distribuible como dato derivado si el contrato aplicable lo permite y si se cumplen sus condiciones específicas; no debe asumirse sin revisión contractual.</w:t>
      </w:r>
    </w:p>
    <w:p>
      <w:pPr>
        <w:spacing w:after="80" w:before="0" w:line="276" w:lineRule="auto"/>
      </w:pPr>
      <w:r>
        <w:rPr>
          <w:rFonts w:ascii="Segoe UI" w:hAnsi="Segoe UI"/>
          <w:i w:val="0"/>
          <w:color w:val="1F2937"/>
          <w:sz w:val="19"/>
        </w:rPr>
        <w:t>Requisitos:</w:t>
      </w:r>
    </w:p>
    <w:p>
      <w:pPr>
        <w:pStyle w:val="ListBullet"/>
        <w:spacing w:after="60" w:before="0" w:line="276" w:lineRule="auto"/>
        <w:ind w:left="360"/>
      </w:pPr>
      <w:r>
        <w:rPr>
          <w:rFonts w:ascii="Segoe UI" w:hAnsi="Segoe UI"/>
          <w:b/>
          <w:color w:val="1F2937"/>
          <w:sz w:val="19"/>
        </w:rPr>
        <w:t xml:space="preserve">1. </w:t>
      </w:r>
      <w:r>
        <w:rPr>
          <w:rFonts w:ascii="Segoe UI" w:hAnsi="Segoe UI"/>
          <w:color w:val="1F2937"/>
          <w:sz w:val="19"/>
        </w:rPr>
        <w:t>El ratio debe utilizar precios diferidos (Delayed Data 15 min) o de cierre oficial.</w:t>
      </w:r>
    </w:p>
    <w:p>
      <w:pPr>
        <w:pStyle w:val="ListBullet"/>
        <w:spacing w:after="60" w:before="0" w:line="276" w:lineRule="auto"/>
        <w:ind w:left="360"/>
      </w:pPr>
      <w:r>
        <w:rPr>
          <w:rFonts w:ascii="Segoe UI" w:hAnsi="Segoe UI"/>
          <w:b/>
          <w:color w:val="1F2937"/>
          <w:sz w:val="19"/>
        </w:rPr>
        <w:t xml:space="preserve">2. </w:t>
      </w:r>
      <w:r>
        <w:rPr>
          <w:rFonts w:ascii="Segoe UI" w:hAnsi="Segoe UI"/>
          <w:color w:val="1F2937"/>
          <w:sz w:val="19"/>
        </w:rPr>
        <w:t>El precio de mercado original no debe poder ser revertido o reconstruido matemáticamente por un tercero a partir del ratio publicado (condición de irreversibilidad).</w:t>
      </w:r>
    </w:p>
    <w:p>
      <w:pPr>
        <w:keepNext/>
        <w:spacing w:before="160" w:after="60"/>
      </w:pPr>
      <w:r>
        <w:rPr>
          <w:rFonts w:ascii="Segoe UI" w:hAnsi="Segoe UI"/>
          <w:b/>
          <w:color w:val="1F2937"/>
          <w:sz w:val="21"/>
        </w:rPr>
        <w:t>3. Producto 3: Software de Laboratorio Fundamental y Análisis SFI</w:t>
      </w:r>
    </w:p>
    <w:p>
      <w:pPr>
        <w:spacing w:after="80" w:before="0" w:line="276" w:lineRule="auto"/>
      </w:pPr>
      <w:r>
        <w:rPr>
          <w:rFonts w:ascii="Segoe UI" w:hAnsi="Segoe UI"/>
          <w:b/>
          <w:color w:val="1F2937"/>
          <w:sz w:val="19"/>
        </w:rPr>
        <w:t xml:space="preserve">• Conclusión Jurídica: </w:t>
      </w:r>
      <w:r>
        <w:rPr>
          <w:rFonts w:ascii="Segoe UI" w:hAnsi="Segoe UI"/>
          <w:i w:val="0"/>
          <w:color w:val="1F2937"/>
          <w:sz w:val="19"/>
        </w:rPr>
        <w:t>Permitido bajo encuadre de software de investigación cuantitativa y laboratorio educativo.</w:t>
      </w:r>
    </w:p>
    <w:p>
      <w:pPr>
        <w:spacing w:after="80" w:before="0" w:line="276" w:lineRule="auto"/>
      </w:pPr>
      <w:r>
        <w:rPr>
          <w:rFonts w:ascii="Segoe UI" w:hAnsi="Segoe UI"/>
          <w:b/>
          <w:color w:val="1F2937"/>
          <w:sz w:val="19"/>
        </w:rPr>
        <w:t xml:space="preserve">• Motivo: </w:t>
      </w:r>
      <w:r>
        <w:rPr>
          <w:rFonts w:ascii="Segoe UI" w:hAnsi="Segoe UI"/>
          <w:i w:val="0"/>
          <w:color w:val="1F2937"/>
          <w:sz w:val="19"/>
        </w:rPr>
        <w:t>Al no constituir un servicio de streaming de cotizaciones en tiempo real para ejecución transaccional, opera como herramienta analítica independiente.</w:t>
      </w:r>
    </w:p>
    <w:p>
      <w:pPr>
        <w:keepNext/>
        <w:spacing w:before="240" w:after="80"/>
      </w:pPr>
      <w:r>
        <w:rPr>
          <w:rFonts w:ascii="Segoe UI" w:hAnsi="Segoe UI"/>
          <w:b/>
          <w:color w:val="134074"/>
          <w:sz w:val="23"/>
        </w:rPr>
        <w:t>15.5. Definición Jurídica de los Productos a Comercializar</w:t>
      </w:r>
    </w:p>
    <w:p>
      <w:pPr>
        <w:keepNext/>
        <w:spacing w:before="160" w:after="60"/>
      </w:pPr>
      <w:r>
        <w:rPr>
          <w:rFonts w:ascii="Segoe UI" w:hAnsi="Segoe UI"/>
          <w:b/>
          <w:color w:val="1F2937"/>
          <w:sz w:val="21"/>
        </w:rPr>
        <w:t>Producto A: Repositorio de Metadatos Corporativos Europeos</w:t>
      </w:r>
    </w:p>
    <w:p>
      <w:pPr>
        <w:pStyle w:val="ListBullet"/>
        <w:spacing w:after="60" w:before="0" w:line="276" w:lineRule="auto"/>
        <w:ind w:left="360"/>
      </w:pPr>
      <w:r>
        <w:rPr>
          <w:rFonts w:ascii="Segoe UI" w:hAnsi="Segoe UI"/>
          <w:b/>
          <w:color w:val="1F2937"/>
          <w:sz w:val="19"/>
        </w:rPr>
        <w:t xml:space="preserve">• Naturaleza: </w:t>
      </w:r>
      <w:r>
        <w:rPr>
          <w:rFonts w:ascii="Segoe UI" w:hAnsi="Segoe UI"/>
          <w:color w:val="1F2937"/>
          <w:sz w:val="19"/>
        </w:rPr>
        <w:t>Índice unificado de referencia pública y trazabilidad documental.</w:t>
      </w:r>
    </w:p>
    <w:p>
      <w:pPr>
        <w:pStyle w:val="ListBullet"/>
        <w:spacing w:after="60" w:before="0" w:line="276" w:lineRule="auto"/>
        <w:ind w:left="360"/>
      </w:pPr>
      <w:r>
        <w:rPr>
          <w:rFonts w:ascii="Segoe UI" w:hAnsi="Segoe UI"/>
          <w:b/>
          <w:color w:val="1F2937"/>
          <w:sz w:val="19"/>
        </w:rPr>
        <w:t xml:space="preserve">• Campos incluidos: </w:t>
      </w:r>
      <w:r>
        <w:rPr>
          <w:rFonts w:ascii="Segoe UI" w:hAnsi="Segoe UI"/>
          <w:color w:val="1F2937"/>
          <w:sz w:val="19"/>
        </w:rPr>
        <w:t>company_name, lei_code, isin_code, ticker, country, market_segment, industry_sector, filing_type, filing_date, source_oam_url, sha256_hash, ingestion_timestamp.</w:t>
      </w:r>
    </w:p>
    <w:p>
      <w:pPr>
        <w:pStyle w:val="ListBullet"/>
        <w:spacing w:after="60" w:before="0" w:line="276" w:lineRule="auto"/>
        <w:ind w:left="360"/>
      </w:pPr>
      <w:r>
        <w:rPr>
          <w:rFonts w:ascii="Segoe UI" w:hAnsi="Segoe UI"/>
          <w:b/>
          <w:color w:val="1F2937"/>
          <w:sz w:val="19"/>
        </w:rPr>
        <w:t xml:space="preserve">• Canales de entrega: </w:t>
      </w:r>
      <w:r>
        <w:rPr>
          <w:rFonts w:ascii="Segoe UI" w:hAnsi="Segoe UI"/>
          <w:color w:val="1F2937"/>
          <w:sz w:val="19"/>
        </w:rPr>
        <w:t>API REST JSON, exportaciones bulk en Parquet y CSV, buscador web público.</w:t>
      </w:r>
    </w:p>
    <w:p>
      <w:pPr>
        <w:pStyle w:val="ListBullet"/>
        <w:spacing w:after="60" w:before="0" w:line="276" w:lineRule="auto"/>
        <w:ind w:left="360"/>
      </w:pPr>
      <w:r>
        <w:rPr>
          <w:rFonts w:ascii="Segoe UI" w:hAnsi="Segoe UI"/>
          <w:b/>
          <w:color w:val="1F2937"/>
          <w:sz w:val="19"/>
        </w:rPr>
        <w:t xml:space="preserve">• Seguridad legal: </w:t>
      </w:r>
      <w:r>
        <w:rPr>
          <w:rFonts w:ascii="Segoe UI" w:hAnsi="Segoe UI"/>
          <w:color w:val="1F2937"/>
          <w:sz w:val="19"/>
        </w:rPr>
        <w:t>Máxima. Basado en licencias abiertas (GLEIF CC-BY 4.0 y ESMA FIRDS).</w:t>
      </w:r>
    </w:p>
    <w:p>
      <w:pPr>
        <w:keepNext/>
        <w:spacing w:before="160" w:after="60"/>
      </w:pPr>
      <w:r>
        <w:rPr>
          <w:rFonts w:ascii="Segoe UI" w:hAnsi="Segoe UI"/>
          <w:b/>
          <w:color w:val="1F2937"/>
          <w:sz w:val="21"/>
        </w:rPr>
        <w:t>Producto B: Dataset de Datos Financieros y ESG Estructurados</w:t>
      </w:r>
    </w:p>
    <w:p>
      <w:pPr>
        <w:pStyle w:val="ListBullet"/>
        <w:spacing w:after="60" w:before="0" w:line="276" w:lineRule="auto"/>
        <w:ind w:left="360"/>
      </w:pPr>
      <w:r>
        <w:rPr>
          <w:rFonts w:ascii="Segoe UI" w:hAnsi="Segoe UI"/>
          <w:b/>
          <w:color w:val="1F2937"/>
          <w:sz w:val="19"/>
        </w:rPr>
        <w:t xml:space="preserve">• Naturaleza: </w:t>
      </w:r>
      <w:r>
        <w:rPr>
          <w:rFonts w:ascii="Segoe UI" w:hAnsi="Segoe UI"/>
          <w:color w:val="1F2937"/>
          <w:sz w:val="19"/>
        </w:rPr>
        <w:t>Base de datos relacional y columnar de hechos extraídos, normalizados y reconciliados.</w:t>
      </w:r>
    </w:p>
    <w:p>
      <w:pPr>
        <w:pStyle w:val="ListBullet"/>
        <w:spacing w:after="60" w:before="0" w:line="276" w:lineRule="auto"/>
        <w:ind w:left="360"/>
      </w:pPr>
      <w:r>
        <w:rPr>
          <w:rFonts w:ascii="Segoe UI" w:hAnsi="Segoe UI"/>
          <w:b/>
          <w:color w:val="1F2937"/>
          <w:sz w:val="19"/>
        </w:rPr>
        <w:t xml:space="preserve">• Obligación de Trazabilidad: </w:t>
      </w:r>
      <w:r>
        <w:rPr>
          <w:rFonts w:ascii="Segoe UI" w:hAnsi="Segoe UI"/>
          <w:color w:val="1F2937"/>
          <w:sz w:val="19"/>
        </w:rPr>
        <w:t>Cada celda o registro del dataset llevará asociado su metadato de origen:</w:t>
      </w:r>
    </w:p>
    <w:p>
      <w:pPr>
        <w:pStyle w:val="ListBullet"/>
        <w:spacing w:after="60" w:before="0" w:line="276" w:lineRule="auto"/>
        <w:ind w:left="360"/>
      </w:pPr>
      <w:r>
        <w:rPr>
          <w:rFonts w:ascii="Segoe UI" w:hAnsi="Segoe UI"/>
          <w:b/>
          <w:color w:val="1F2937"/>
          <w:sz w:val="19"/>
        </w:rPr>
        <w:t xml:space="preserve">  - DATO PUBLICADO POR EL EMISOR: </w:t>
      </w:r>
      <w:r>
        <w:rPr>
          <w:rFonts w:ascii="Segoe UI" w:hAnsi="Segoe UI"/>
          <w:color w:val="1F2937"/>
          <w:sz w:val="19"/>
        </w:rPr>
        <w:t>Cifra original extraída con anclaje a página y bounding-box.</w:t>
      </w:r>
    </w:p>
    <w:p>
      <w:pPr>
        <w:pStyle w:val="ListBullet"/>
        <w:spacing w:after="60" w:before="0" w:line="276" w:lineRule="auto"/>
        <w:ind w:left="360"/>
      </w:pPr>
      <w:r>
        <w:rPr>
          <w:rFonts w:ascii="Segoe UI" w:hAnsi="Segoe UI"/>
          <w:b/>
          <w:color w:val="1F2937"/>
          <w:sz w:val="19"/>
        </w:rPr>
        <w:t xml:space="preserve">  - DATO EXTRAÍDO POR NUESTRO SISTEMA: </w:t>
      </w:r>
      <w:r>
        <w:rPr>
          <w:rFonts w:ascii="Segoe UI" w:hAnsi="Segoe UI"/>
          <w:color w:val="1F2937"/>
          <w:sz w:val="19"/>
        </w:rPr>
        <w:t>Extracción automatizada NLP con nivel de confianza.</w:t>
      </w:r>
    </w:p>
    <w:p>
      <w:pPr>
        <w:pStyle w:val="ListBullet"/>
        <w:spacing w:after="60" w:before="0" w:line="276" w:lineRule="auto"/>
        <w:ind w:left="360"/>
      </w:pPr>
      <w:r>
        <w:rPr>
          <w:rFonts w:ascii="Segoe UI" w:hAnsi="Segoe UI"/>
          <w:b/>
          <w:color w:val="1F2937"/>
          <w:sz w:val="19"/>
        </w:rPr>
        <w:t xml:space="preserve">  - DATO NORMALIZADO POR NUESTRO SISTEMA: </w:t>
      </w:r>
      <w:r>
        <w:rPr>
          <w:rFonts w:ascii="Segoe UI" w:hAnsi="Segoe UI"/>
          <w:color w:val="1F2937"/>
          <w:sz w:val="19"/>
        </w:rPr>
        <w:t>Cifra estandarizada bajo taxonomía canónica STATER.</w:t>
      </w:r>
    </w:p>
    <w:p>
      <w:pPr>
        <w:keepNext/>
        <w:spacing w:before="240" w:after="80"/>
      </w:pPr>
      <w:r>
        <w:rPr>
          <w:rFonts w:ascii="Segoe UI" w:hAnsi="Segoe UI"/>
          <w:b/>
          <w:color w:val="134074"/>
          <w:sz w:val="23"/>
        </w:rPr>
        <w:t>15.6. Respuestas Específicas a las 28 Preguntas de Auditoría Técnica y Regulatoria</w:t>
      </w:r>
    </w:p>
    <w:p>
      <w:pPr>
        <w:keepNext/>
        <w:spacing w:before="160" w:after="60"/>
      </w:pPr>
      <w:r>
        <w:rPr>
          <w:rFonts w:ascii="Segoe UI" w:hAnsi="Segoe UI"/>
          <w:b/>
          <w:color w:val="1F2937"/>
          <w:sz w:val="21"/>
        </w:rPr>
        <w:t>1. ¿Qué documentos locales confirman que la información de CNMV puede reutilizarse comercialmente?</w:t>
      </w:r>
    </w:p>
    <w:p>
      <w:pPr>
        <w:spacing w:after="80" w:before="0" w:line="276" w:lineRule="auto"/>
      </w:pPr>
      <w:r>
        <w:rPr>
          <w:rFonts w:ascii="Segoe UI" w:hAnsi="Segoe UI"/>
          <w:i w:val="0"/>
          <w:color w:val="1F2937"/>
          <w:sz w:val="19"/>
        </w:rPr>
        <w:t>El archivo 01_ESPANA/CNMV_Nota_Legal_y_Condiciones_Uso.html al amparo de la Ley 37/2007 y la Directiva (UE) 2019/1024 sobre reutilización de información del sector público, que autoriza la reutilización con fines comerciales bajo condición de no desnaturalizar la información y citar la fuente.</w:t>
      </w:r>
    </w:p>
    <w:p>
      <w:pPr>
        <w:keepNext/>
        <w:spacing w:before="160" w:after="60"/>
      </w:pPr>
      <w:r>
        <w:rPr>
          <w:rFonts w:ascii="Segoe UI" w:hAnsi="Segoe UI"/>
          <w:b/>
          <w:color w:val="1F2937"/>
          <w:sz w:val="21"/>
        </w:rPr>
        <w:t>2. ¿La nota legal de CNMV distingue entre acceso, extracción, transformación y redistribución?</w:t>
      </w:r>
    </w:p>
    <w:p>
      <w:pPr>
        <w:spacing w:after="80" w:before="0" w:line="276" w:lineRule="auto"/>
      </w:pPr>
      <w:r>
        <w:rPr>
          <w:rFonts w:ascii="Segoe UI" w:hAnsi="Segoe UI"/>
          <w:i w:val="0"/>
          <w:color w:val="1F2937"/>
          <w:sz w:val="19"/>
        </w:rPr>
        <w:t>Sí. Permite el libre acceso y la transformación en obras derivadas, pero prohíbe la presentación de la información de manera que sugiera patrocinio oficial de la CNMV o altere el sentido material de los hechos comunicados por los emisores.</w:t>
      </w:r>
    </w:p>
    <w:p>
      <w:pPr>
        <w:keepNext/>
        <w:spacing w:before="160" w:after="60"/>
      </w:pPr>
      <w:r>
        <w:rPr>
          <w:rFonts w:ascii="Segoe UI" w:hAnsi="Segoe UI"/>
          <w:b/>
          <w:color w:val="1F2937"/>
          <w:sz w:val="21"/>
        </w:rPr>
        <w:t>3. ¿La licencia francesa permite descargar y vender datasets estructurados derivados?</w:t>
      </w:r>
    </w:p>
    <w:p>
      <w:pPr>
        <w:spacing w:after="80" w:before="0" w:line="276" w:lineRule="auto"/>
      </w:pPr>
      <w:r>
        <w:rPr>
          <w:rFonts w:ascii="Segoe UI" w:hAnsi="Segoe UI"/>
          <w:i w:val="0"/>
          <w:color w:val="1F2937"/>
          <w:sz w:val="19"/>
        </w:rPr>
        <w:t>Sí, expresamente. El archivo 02_FRANCIA/data_gouv_fr_API_info_financiere_Documentation_Terms.html ratifica la Licence Ouverte 2.0, que autoriza de forma explícita la explotación comercial, transformación, combinación y venta de bases de datos derivadas.</w:t>
      </w:r>
    </w:p>
    <w:p>
      <w:pPr>
        <w:keepNext/>
        <w:spacing w:before="160" w:after="60"/>
      </w:pPr>
      <w:r>
        <w:rPr>
          <w:rFonts w:ascii="Segoe UI" w:hAnsi="Segoe UI"/>
          <w:b/>
          <w:color w:val="1F2937"/>
          <w:sz w:val="21"/>
        </w:rPr>
        <w:t>4. ¿La atribución debe aparecer por registro, en el README, en la web o en cada descarga?</w:t>
      </w:r>
    </w:p>
    <w:p>
      <w:pPr>
        <w:spacing w:after="80" w:before="0" w:line="276" w:lineRule="auto"/>
      </w:pPr>
      <w:r>
        <w:rPr>
          <w:rFonts w:ascii="Segoe UI" w:hAnsi="Segoe UI"/>
          <w:i w:val="0"/>
          <w:color w:val="1F2937"/>
          <w:sz w:val="19"/>
        </w:rPr>
        <w:t>La mejor práctica jurídica exige: (a) mención general en el aviso legal y pie de página de la web, (b) archivo README.md o metadata.json en cada descarga de dataset bulk / Parquet, y (c) campo source_attribution en la respuesta JSON de la API.</w:t>
      </w:r>
    </w:p>
    <w:p>
      <w:pPr>
        <w:keepNext/>
        <w:spacing w:before="160" w:after="60"/>
      </w:pPr>
      <w:r>
        <w:rPr>
          <w:rFonts w:ascii="Segoe UI" w:hAnsi="Segoe UI"/>
          <w:b/>
          <w:color w:val="1F2937"/>
          <w:sz w:val="21"/>
        </w:rPr>
        <w:t>5. ¿La licencia de GLEIF permite comercializar datos enriquecidos sin redistribuir la base original completa?</w:t>
      </w:r>
    </w:p>
    <w:p>
      <w:pPr>
        <w:spacing w:after="80" w:before="0" w:line="276" w:lineRule="auto"/>
      </w:pPr>
      <w:r>
        <w:rPr>
          <w:rFonts w:ascii="Segoe UI" w:hAnsi="Segoe UI"/>
          <w:i w:val="0"/>
          <w:color w:val="1F2937"/>
          <w:sz w:val="19"/>
        </w:rPr>
        <w:t>Sí. El archivo 07_PAN_EUROPEO_OFICIAL/GLEIF_Terms_of_Use_Open_Data_CC_BY_4_0.html confirma la licencia Creative Commons CC-BY 4.0, que permite expresamente crear y vender obras derivadas y extractos enriquecidos con atribución.</w:t>
      </w:r>
    </w:p>
    <w:p>
      <w:pPr>
        <w:keepNext/>
        <w:spacing w:before="160" w:after="60"/>
      </w:pPr>
      <w:r>
        <w:rPr>
          <w:rFonts w:ascii="Segoe UI" w:hAnsi="Segoe UI"/>
          <w:b/>
          <w:color w:val="1F2937"/>
          <w:sz w:val="21"/>
        </w:rPr>
        <w:t>6. ¿Qué obligaciones impone CC-BY 4.0?</w:t>
      </w:r>
    </w:p>
    <w:p>
      <w:pPr>
        <w:spacing w:after="80" w:before="0" w:line="276" w:lineRule="auto"/>
      </w:pPr>
      <w:r>
        <w:rPr>
          <w:rFonts w:ascii="Segoe UI" w:hAnsi="Segoe UI"/>
          <w:i w:val="0"/>
          <w:color w:val="1F2937"/>
          <w:sz w:val="19"/>
        </w:rPr>
        <w:t>Atribución de autoría adecuada, enlace a la licencia, e indicación de si se han realizado modificaciones sobre los datos originales.</w:t>
      </w:r>
    </w:p>
    <w:p>
      <w:pPr>
        <w:keepNext/>
        <w:spacing w:before="160" w:after="60"/>
      </w:pPr>
      <w:r>
        <w:rPr>
          <w:rFonts w:ascii="Segoe UI" w:hAnsi="Segoe UI"/>
          <w:b/>
          <w:color w:val="1F2937"/>
          <w:sz w:val="21"/>
        </w:rPr>
        <w:t>7. ¿Los datos ESEF de filings.xbrl.org pueden integrarse en un producto comercial?</w:t>
      </w:r>
    </w:p>
    <w:p>
      <w:pPr>
        <w:spacing w:after="80" w:before="0" w:line="276" w:lineRule="auto"/>
      </w:pPr>
      <w:r>
        <w:rPr>
          <w:rFonts w:ascii="Segoe UI" w:hAnsi="Segoe UI"/>
          <w:i w:val="0"/>
          <w:color w:val="1F2937"/>
          <w:sz w:val="19"/>
        </w:rPr>
        <w:t>Sí. El archivo 07_PAN_EUROPEO_OFICIAL/filings_xbrl_org_About_and_API_License.html confirma que el repositorio opera bajo principios de acceso abierto para fomentar el análisis del ecosistema ESEF.</w:t>
      </w:r>
    </w:p>
    <w:p>
      <w:pPr>
        <w:keepNext/>
        <w:spacing w:before="160" w:after="60"/>
      </w:pPr>
      <w:r>
        <w:rPr>
          <w:rFonts w:ascii="Segoe UI" w:hAnsi="Segoe UI"/>
          <w:b/>
          <w:color w:val="1F2937"/>
          <w:sz w:val="21"/>
        </w:rPr>
        <w:t>8. ¿Hay restricciones de volumen o disponibilidad en la API de filings.xbrl.org?</w:t>
      </w:r>
    </w:p>
    <w:p>
      <w:pPr>
        <w:spacing w:after="80" w:before="0" w:line="276" w:lineRule="auto"/>
      </w:pPr>
      <w:r>
        <w:rPr>
          <w:rFonts w:ascii="Segoe UI" w:hAnsi="Segoe UI"/>
          <w:i w:val="0"/>
          <w:color w:val="1F2937"/>
          <w:sz w:val="19"/>
        </w:rPr>
        <w:t>No tiene un límite contractual comercial estricto, pero aplica fair use rate limits por IP para evitar sobrecargas de servidor. Debe usarse caché local intermedia en STATER.</w:t>
      </w:r>
    </w:p>
    <w:p>
      <w:pPr>
        <w:keepNext/>
        <w:spacing w:before="160" w:after="60"/>
      </w:pPr>
      <w:r>
        <w:rPr>
          <w:rFonts w:ascii="Segoe UI" w:hAnsi="Segoe UI"/>
          <w:b/>
          <w:color w:val="1F2937"/>
          <w:sz w:val="21"/>
        </w:rPr>
        <w:t>9. ¿Qué diferencias existen entre la licencia de documentos ESEF y la licencia de market data de Euronext?</w:t>
      </w:r>
    </w:p>
    <w:p>
      <w:pPr>
        <w:spacing w:after="80" w:before="0" w:line="276" w:lineRule="auto"/>
      </w:pPr>
      <w:r>
        <w:rPr>
          <w:rFonts w:ascii="Segoe UI" w:hAnsi="Segoe UI"/>
          <w:i w:val="0"/>
          <w:color w:val="1F2937"/>
          <w:sz w:val="19"/>
        </w:rPr>
        <w:t>Los documentos ESEF son informes corporativos oficiales regulados por mandato legal comunitario (acceso público y libre); el Market Data de Euronext es un servicio comercial privado de cotizaciones y flujo de órdenes en tiempo real propiedad de la bolsa.</w:t>
      </w:r>
    </w:p>
    <w:p>
      <w:pPr>
        <w:keepNext/>
        <w:spacing w:before="160" w:after="60"/>
      </w:pPr>
      <w:r>
        <w:rPr>
          <w:rFonts w:ascii="Segoe UI" w:hAnsi="Segoe UI"/>
          <w:b/>
          <w:color w:val="1F2937"/>
          <w:sz w:val="21"/>
        </w:rPr>
        <w:t>10. ¿Qué diferencia existe entre dato contable de un filing y precio de mercado distribuido por una bolsa?</w:t>
      </w:r>
    </w:p>
    <w:p>
      <w:pPr>
        <w:spacing w:after="80" w:before="0" w:line="276" w:lineRule="auto"/>
      </w:pPr>
      <w:r>
        <w:rPr>
          <w:rFonts w:ascii="Segoe UI" w:hAnsi="Segoe UI"/>
          <w:i w:val="0"/>
          <w:color w:val="1F2937"/>
          <w:sz w:val="19"/>
        </w:rPr>
        <w:t>El dato contable es un hecho histórico y jurídico publicado en cumplimiento de la normativa societaria (libre de derechos de bolsa); el precio de mercado es un flujo de datos transaccionales generado en los sistemas de negociación de la bolsa.</w:t>
      </w:r>
    </w:p>
    <w:p>
      <w:pPr>
        <w:keepNext/>
        <w:spacing w:before="160" w:after="60"/>
      </w:pPr>
      <w:r>
        <w:rPr>
          <w:rFonts w:ascii="Segoe UI" w:hAnsi="Segoe UI"/>
          <w:b/>
          <w:color w:val="1F2937"/>
          <w:sz w:val="21"/>
        </w:rPr>
        <w:t>11. ¿Se puede publicar un ratio que combine un precio licenciado y un dato público?</w:t>
      </w:r>
    </w:p>
    <w:p>
      <w:pPr>
        <w:spacing w:after="80" w:before="0" w:line="276" w:lineRule="auto"/>
      </w:pPr>
      <w:r>
        <w:rPr>
          <w:rFonts w:ascii="Segoe UI" w:hAnsi="Segoe UI"/>
          <w:i w:val="0"/>
          <w:color w:val="1F2937"/>
          <w:sz w:val="19"/>
        </w:rPr>
        <w:t>Sí, siempre que constituya un dato derivado irreversible (Derived Data), donde el usuario final no pueda realizar ingeniería inversa para extraer el precio en tiempo real del emisor sin pagar la licencia correspondiente.</w:t>
      </w:r>
    </w:p>
    <w:p>
      <w:pPr>
        <w:keepNext/>
        <w:spacing w:before="160" w:after="60"/>
      </w:pPr>
      <w:r>
        <w:rPr>
          <w:rFonts w:ascii="Segoe UI" w:hAnsi="Segoe UI"/>
          <w:b/>
          <w:color w:val="1F2937"/>
          <w:sz w:val="21"/>
        </w:rPr>
        <w:t>12. ¿Qué significa “derived data” en BME?</w:t>
      </w:r>
    </w:p>
    <w:p>
      <w:pPr>
        <w:spacing w:after="80" w:before="0" w:line="276" w:lineRule="auto"/>
      </w:pPr>
      <w:r>
        <w:rPr>
          <w:rFonts w:ascii="Segoe UI" w:hAnsi="Segoe UI"/>
          <w:i w:val="0"/>
          <w:color w:val="1F2937"/>
          <w:sz w:val="19"/>
        </w:rPr>
        <w:t>Información resultante del cálculo, procesamiento o combinación de datos de mercado con otras fuentes, de modo que los datos originales de BME no puedan ser recuperados o reconstruidos a partir de dicha información derivada.</w:t>
      </w:r>
    </w:p>
    <w:p>
      <w:pPr>
        <w:keepNext/>
        <w:spacing w:before="160" w:after="60"/>
      </w:pPr>
      <w:r>
        <w:rPr>
          <w:rFonts w:ascii="Segoe UI" w:hAnsi="Segoe UI"/>
          <w:b/>
          <w:color w:val="1F2937"/>
          <w:sz w:val="21"/>
        </w:rPr>
        <w:t>13. ¿Qué significa “derived data” en Euronext?</w:t>
      </w:r>
    </w:p>
    <w:p>
      <w:pPr>
        <w:spacing w:after="80" w:before="0" w:line="276" w:lineRule="auto"/>
      </w:pPr>
      <w:r>
        <w:rPr>
          <w:rFonts w:ascii="Segoe UI" w:hAnsi="Segoe UI"/>
          <w:i w:val="0"/>
          <w:color w:val="1F2937"/>
          <w:sz w:val="19"/>
        </w:rPr>
        <w:t>Datos creados mediante la aplicación de fórmulas o algoritmos a los datos de mercado de Euronext, que dan lugar a un nuevo instrumento, índice, ratio o valor que no puede ser utilizado como sustituto de los datos originales de Euronext.</w:t>
      </w:r>
    </w:p>
    <w:p>
      <w:pPr>
        <w:keepNext/>
        <w:spacing w:before="160" w:after="60"/>
      </w:pPr>
      <w:r>
        <w:rPr>
          <w:rFonts w:ascii="Segoe UI" w:hAnsi="Segoe UI"/>
          <w:b/>
          <w:color w:val="1F2937"/>
          <w:sz w:val="21"/>
        </w:rPr>
        <w:t>14. ¿El ratio P/B sería redistribuible?</w:t>
      </w:r>
    </w:p>
    <w:p>
      <w:pPr>
        <w:spacing w:after="80" w:before="0" w:line="276" w:lineRule="auto"/>
      </w:pPr>
      <w:r>
        <w:rPr>
          <w:rFonts w:ascii="Segoe UI" w:hAnsi="Segoe UI"/>
          <w:i w:val="0"/>
          <w:color w:val="1F2937"/>
          <w:sz w:val="19"/>
        </w:rPr>
        <w:t>Potencialmente distribuible como dato derivado si el contrato aplicable de la bolsa lo permite y si se cumplen sus condiciones específicas (precio diferido y cálculo irreversible); no debe asumirse libremente sin revisión contractual.</w:t>
      </w:r>
    </w:p>
    <w:p>
      <w:pPr>
        <w:keepNext/>
        <w:spacing w:before="160" w:after="60"/>
      </w:pPr>
      <w:r>
        <w:rPr>
          <w:rFonts w:ascii="Segoe UI" w:hAnsi="Segoe UI"/>
          <w:b/>
          <w:color w:val="1F2937"/>
          <w:sz w:val="21"/>
        </w:rPr>
        <w:t>15. ¿El ROE basado sólo en estados financieros públicos tendría un tratamiento diferente?</w:t>
      </w:r>
    </w:p>
    <w:p>
      <w:pPr>
        <w:spacing w:after="80" w:before="0" w:line="276" w:lineRule="auto"/>
      </w:pPr>
      <w:r>
        <w:rPr>
          <w:rFonts w:ascii="Segoe UI" w:hAnsi="Segoe UI"/>
          <w:i w:val="0"/>
          <w:color w:val="1F2937"/>
          <w:sz w:val="19"/>
        </w:rPr>
        <w:t>Sí. No utiliza directamente un feed de mercado al proceder de OAMs, pero debe confirmarse la licencia de las fuentes documentales y de cualquier identificador o dato complementario.</w:t>
      </w:r>
    </w:p>
    <w:p>
      <w:pPr>
        <w:keepNext/>
        <w:spacing w:before="160" w:after="60"/>
      </w:pPr>
      <w:r>
        <w:rPr>
          <w:rFonts w:ascii="Segoe UI" w:hAnsi="Segoe UI"/>
          <w:b/>
          <w:color w:val="1F2937"/>
          <w:sz w:val="21"/>
        </w:rPr>
        <w:t>16. ¿Podemos publicar un score ESG propio usando hechos extraídos?</w:t>
      </w:r>
    </w:p>
    <w:p>
      <w:pPr>
        <w:spacing w:after="80" w:before="0" w:line="276" w:lineRule="auto"/>
      </w:pPr>
      <w:r>
        <w:rPr>
          <w:rFonts w:ascii="Segoe UI" w:hAnsi="Segoe UI"/>
          <w:i w:val="0"/>
          <w:color w:val="1F2937"/>
          <w:sz w:val="19"/>
        </w:rPr>
        <w:t>Sí. Constituye una creación intelectual y analítica propia de STATER, fundamentada en hechos públicos observables con trazabilidad a página/párrafo.</w:t>
      </w:r>
    </w:p>
    <w:p>
      <w:pPr>
        <w:keepNext/>
        <w:spacing w:before="160" w:after="60"/>
      </w:pPr>
      <w:r>
        <w:rPr>
          <w:rFonts w:ascii="Segoe UI" w:hAnsi="Segoe UI"/>
          <w:b/>
          <w:color w:val="1F2937"/>
          <w:sz w:val="21"/>
        </w:rPr>
        <w:t>17. ¿Podemos mostrar fragmentos de KAM y páginas del informe?</w:t>
      </w:r>
    </w:p>
    <w:p>
      <w:pPr>
        <w:spacing w:after="80" w:before="0" w:line="276" w:lineRule="auto"/>
      </w:pPr>
      <w:r>
        <w:rPr>
          <w:rFonts w:ascii="Segoe UI" w:hAnsi="Segoe UI"/>
          <w:i w:val="0"/>
          <w:color w:val="1F2937"/>
          <w:sz w:val="19"/>
        </w:rPr>
        <w:t>El derecho de cita no autoriza reproducir páginas completas ni textos íntegros. La plataforma prioriza estrictamente: (1) enlace al informe original, (2) título del KAM, (3) resumen propio elaborado por STATER, (4) fragmento breve justificado, (5) página, (6) fuente y (7) hash SHA-256, evitando publicar por defecto el texto íntegro.</w:t>
      </w:r>
    </w:p>
    <w:p>
      <w:pPr>
        <w:keepNext/>
        <w:spacing w:before="160" w:after="60"/>
      </w:pPr>
      <w:r>
        <w:rPr>
          <w:rFonts w:ascii="Segoe UI" w:hAnsi="Segoe UI"/>
          <w:b/>
          <w:color w:val="1F2937"/>
          <w:sz w:val="21"/>
        </w:rPr>
        <w:t>18. ¿Se puede almacenar permanentemente el PDF?</w:t>
      </w:r>
    </w:p>
    <w:p>
      <w:pPr>
        <w:spacing w:after="80" w:before="0" w:line="276" w:lineRule="auto"/>
      </w:pPr>
      <w:r>
        <w:rPr>
          <w:rFonts w:ascii="Segoe UI" w:hAnsi="Segoe UI"/>
          <w:i w:val="0"/>
          <w:color w:val="1F2937"/>
          <w:sz w:val="19"/>
        </w:rPr>
        <w:t>Sí, en el repositorio interno inmutable de STATER como respaldo de trazabilidad técnica, custodia criptográfica (SHA-256) y evidencia analítica.</w:t>
      </w:r>
    </w:p>
    <w:p>
      <w:pPr>
        <w:keepNext/>
        <w:spacing w:before="160" w:after="60"/>
      </w:pPr>
      <w:r>
        <w:rPr>
          <w:rFonts w:ascii="Segoe UI" w:hAnsi="Segoe UI"/>
          <w:b/>
          <w:color w:val="1F2937"/>
          <w:sz w:val="21"/>
        </w:rPr>
        <w:t>19. ¿Debemos enlazar a la fuente original?</w:t>
      </w:r>
    </w:p>
    <w:p>
      <w:pPr>
        <w:spacing w:after="80" w:before="0" w:line="276" w:lineRule="auto"/>
      </w:pPr>
      <w:r>
        <w:rPr>
          <w:rFonts w:ascii="Segoe UI" w:hAnsi="Segoe UI"/>
          <w:i w:val="0"/>
          <w:color w:val="1F2937"/>
          <w:sz w:val="19"/>
        </w:rPr>
        <w:t>Sí, es una práctica prioritaria y recomendada. Incrementa la confianza del usuario, satisface los requerimientos de reutilización pública y traslada la responsabilidad del contenido original al emisor.</w:t>
      </w:r>
    </w:p>
    <w:p>
      <w:pPr>
        <w:keepNext/>
        <w:spacing w:before="160" w:after="60"/>
      </w:pPr>
      <w:r>
        <w:rPr>
          <w:rFonts w:ascii="Segoe UI" w:hAnsi="Segoe UI"/>
          <w:b/>
          <w:color w:val="1F2937"/>
          <w:sz w:val="21"/>
        </w:rPr>
        <w:t>20. ¿Qué avisos de no afiliación deben aparecer?</w:t>
      </w:r>
    </w:p>
    <w:p>
      <w:pPr>
        <w:spacing w:after="80" w:before="0" w:line="276" w:lineRule="auto"/>
      </w:pPr>
      <w:r>
        <w:rPr>
          <w:rFonts w:ascii="Segoe UI" w:hAnsi="Segoe UI"/>
          <w:i w:val="0"/>
          <w:color w:val="1F2937"/>
          <w:sz w:val="19"/>
        </w:rPr>
        <w:t>Debe constar de forma clara: "STATER / REX es un proveedor independiente de análisis de datos. No está afiliado, patrocinado ni respaldado por la CNMV, AMF, BaFin, ESMA, BME, Euronext ni por las empresas objeto de estudio."</w:t>
      </w:r>
    </w:p>
    <w:p>
      <w:pPr>
        <w:keepNext/>
        <w:spacing w:before="160" w:after="60"/>
      </w:pPr>
      <w:r>
        <w:rPr>
          <w:rFonts w:ascii="Segoe UI" w:hAnsi="Segoe UI"/>
          <w:b/>
          <w:color w:val="1F2937"/>
          <w:sz w:val="21"/>
        </w:rPr>
        <w:t>21. ¿Puede el producto llamarse “rating ESG” o sería más prudente llamarlo “score analítico”?</w:t>
      </w:r>
    </w:p>
    <w:p>
      <w:pPr>
        <w:spacing w:after="80" w:before="0" w:line="276" w:lineRule="auto"/>
      </w:pPr>
      <w:r>
        <w:rPr>
          <w:rFonts w:ascii="Segoe UI" w:hAnsi="Segoe UI"/>
          <w:i w:val="0"/>
          <w:color w:val="1F2937"/>
          <w:sz w:val="19"/>
        </w:rPr>
        <w:t>Es prudente y recomendable llamarlo "Score Analítico ESG" o "Índice de Transparencia de Sostenibilidad", para evitar colisionar con la futura regulación europea sobre Agencias de Calificación ESG (Reglamento de Calificadores ESG de la UE).</w:t>
      </w:r>
    </w:p>
    <w:p>
      <w:pPr>
        <w:keepNext/>
        <w:spacing w:before="160" w:after="60"/>
      </w:pPr>
      <w:r>
        <w:rPr>
          <w:rFonts w:ascii="Segoe UI" w:hAnsi="Segoe UI"/>
          <w:b/>
          <w:color w:val="1F2937"/>
          <w:sz w:val="21"/>
        </w:rPr>
        <w:t>22. ¿Hay riesgos de regulación como proveedor de índices?</w:t>
      </w:r>
    </w:p>
    <w:p>
      <w:pPr>
        <w:spacing w:after="80" w:before="0" w:line="276" w:lineRule="auto"/>
      </w:pPr>
      <w:r>
        <w:rPr>
          <w:rFonts w:ascii="Segoe UI" w:hAnsi="Segoe UI"/>
          <w:i w:val="0"/>
          <w:color w:val="1F2937"/>
          <w:sz w:val="19"/>
        </w:rPr>
        <w:t>No, siempre que los scores y rankings no se utilicen comercialmente como subyacente para liquidar contratos financieros derivados o estructurar fondos cotizados (ETFs) bajo el Reglamento de Índices de Referencia de la UE (Benchmark Regulation).</w:t>
      </w:r>
    </w:p>
    <w:p>
      <w:pPr>
        <w:keepNext/>
        <w:spacing w:before="160" w:after="60"/>
      </w:pPr>
      <w:r>
        <w:rPr>
          <w:rFonts w:ascii="Segoe UI" w:hAnsi="Segoe UI"/>
          <w:b/>
          <w:color w:val="1F2937"/>
          <w:sz w:val="21"/>
        </w:rPr>
        <w:t>23. ¿Hay riesgos bajo el Reglamento de Agencias de Calificación Crediticia (CRA)?</w:t>
      </w:r>
    </w:p>
    <w:p>
      <w:pPr>
        <w:spacing w:after="80" w:before="0" w:line="276" w:lineRule="auto"/>
      </w:pPr>
      <w:r>
        <w:rPr>
          <w:rFonts w:ascii="Segoe UI" w:hAnsi="Segoe UI"/>
          <w:i w:val="0"/>
          <w:color w:val="1F2937"/>
          <w:sz w:val="19"/>
        </w:rPr>
        <w:t>No, siempre que las métricas de solvencia (como el Altman Z-Score o ratios de deuda) se presenten como fórmulas matemáticas cuantitativas públicas y no como opiniones formales de solvencia crediticia (credit ratings con escalas AAA-BBB).</w:t>
      </w:r>
    </w:p>
    <w:p>
      <w:pPr>
        <w:keepNext/>
        <w:spacing w:before="160" w:after="60"/>
      </w:pPr>
      <w:r>
        <w:rPr>
          <w:rFonts w:ascii="Segoe UI" w:hAnsi="Segoe UI"/>
          <w:b/>
          <w:color w:val="1F2937"/>
          <w:sz w:val="21"/>
        </w:rPr>
        <w:t>24. ¿Hay riesgo de que el laboratorio SFI sea calificado como recomendación de inversión?</w:t>
      </w:r>
    </w:p>
    <w:p>
      <w:pPr>
        <w:spacing w:after="80" w:before="0" w:line="276" w:lineRule="auto"/>
      </w:pPr>
      <w:r>
        <w:rPr>
          <w:rFonts w:ascii="Segoe UI" w:hAnsi="Segoe UI"/>
          <w:i w:val="0"/>
          <w:color w:val="1F2937"/>
          <w:sz w:val="19"/>
        </w:rPr>
        <w:t>No, al estar concebido como un software de backtesting, simulación de fundamentales e investigación metodológica retrospectiva, sin emisión periódica de señales de compra/venta en tiempo real dirigidas al público.</w:t>
      </w:r>
    </w:p>
    <w:p>
      <w:pPr>
        <w:keepNext/>
        <w:spacing w:before="160" w:after="60"/>
      </w:pPr>
      <w:r>
        <w:rPr>
          <w:rFonts w:ascii="Segoe UI" w:hAnsi="Segoe UI"/>
          <w:b/>
          <w:color w:val="1F2937"/>
          <w:sz w:val="21"/>
        </w:rPr>
        <w:t>25. ¿Qué separación debe existir entre producto educativo y producto de datos?</w:t>
      </w:r>
    </w:p>
    <w:p>
      <w:pPr>
        <w:spacing w:after="80" w:before="0" w:line="276" w:lineRule="auto"/>
      </w:pPr>
      <w:r>
        <w:rPr>
          <w:rFonts w:ascii="Segoe UI" w:hAnsi="Segoe UI"/>
          <w:i w:val="0"/>
          <w:color w:val="1F2937"/>
          <w:sz w:val="19"/>
        </w:rPr>
        <w:t>Separación de marcas y términos de uso: REX (datos estructurados y API técnica B2B) vs. Luminic Finance (software educativo, docencia y análisis de fundamentals).</w:t>
      </w:r>
    </w:p>
    <w:p>
      <w:pPr>
        <w:keepNext/>
        <w:spacing w:before="160" w:after="60"/>
      </w:pPr>
      <w:r>
        <w:rPr>
          <w:rFonts w:ascii="Segoe UI" w:hAnsi="Segoe UI"/>
          <w:b/>
          <w:color w:val="1F2937"/>
          <w:sz w:val="21"/>
        </w:rPr>
        <w:t>26. ¿Qué cláusulas deben aparecer en los términos de uso?</w:t>
      </w:r>
    </w:p>
    <w:p>
      <w:pPr>
        <w:spacing w:after="80" w:before="0" w:line="276" w:lineRule="auto"/>
      </w:pPr>
      <w:r>
        <w:rPr>
          <w:rFonts w:ascii="Segoe UI" w:hAnsi="Segoe UI"/>
          <w:i w:val="0"/>
          <w:color w:val="1F2937"/>
          <w:sz w:val="19"/>
        </w:rPr>
        <w:t>Cláusulas de: (a) limitación de responsabilidad por errores en fuentes primarias, (b) declaración de no asesoramiento financiero, (c) titularidad del derecho sui generis sobre la base de datos, y (d) política de uso razonable de la API.</w:t>
      </w:r>
    </w:p>
    <w:p>
      <w:pPr>
        <w:keepNext/>
        <w:spacing w:before="160" w:after="60"/>
      </w:pPr>
      <w:r>
        <w:rPr>
          <w:rFonts w:ascii="Segoe UI" w:hAnsi="Segoe UI"/>
          <w:b/>
          <w:color w:val="1F2937"/>
          <w:sz w:val="21"/>
        </w:rPr>
        <w:t>27. ¿Qué seguro de responsabilidad debería valorar la empresa?</w:t>
      </w:r>
    </w:p>
    <w:p>
      <w:pPr>
        <w:spacing w:after="80" w:before="0" w:line="276" w:lineRule="auto"/>
      </w:pPr>
      <w:r>
        <w:rPr>
          <w:rFonts w:ascii="Segoe UI" w:hAnsi="Segoe UI"/>
          <w:i w:val="0"/>
          <w:color w:val="1F2937"/>
          <w:sz w:val="19"/>
        </w:rPr>
        <w:t>Seguro de Responsabilidad Civil Profesional para Empresas de Tecnología y Tratamiento de Datos (pólizas de 400–600 €/año con Hiscox o Markel con cobertura de 300.000 € a 600.000 €).</w:t>
      </w:r>
    </w:p>
    <w:p>
      <w:pPr>
        <w:keepNext/>
        <w:spacing w:before="160" w:after="60"/>
      </w:pPr>
      <w:r>
        <w:rPr>
          <w:rFonts w:ascii="Segoe UI" w:hAnsi="Segoe UI"/>
          <w:b/>
          <w:color w:val="1F2937"/>
          <w:sz w:val="21"/>
        </w:rPr>
        <w:t>28. ¿Qué debe revisar un abogado antes del lanzamiento comercial de la SL?</w:t>
      </w:r>
    </w:p>
    <w:p>
      <w:pPr>
        <w:spacing w:after="80" w:before="0" w:line="276" w:lineRule="auto"/>
      </w:pPr>
      <w:r>
        <w:rPr>
          <w:rFonts w:ascii="Segoe UI" w:hAnsi="Segoe UI"/>
          <w:i w:val="0"/>
          <w:color w:val="1F2937"/>
          <w:sz w:val="19"/>
        </w:rPr>
        <w:t>(1) La redacción definitiva de los Términos y Condiciones y Política de Privacidad de la web, (2) la estructura de los estatutos sociales de STATER S.L., y (3) la conformidad de los contratos B2B de licenciamiento de la API REST.</w:t>
      </w:r>
    </w:p>
    <w:p>
      <w:pPr>
        <w:keepNext/>
        <w:spacing w:before="240" w:after="80"/>
      </w:pPr>
      <w:r>
        <w:rPr>
          <w:rFonts w:ascii="Segoe UI" w:hAnsi="Segoe UI"/>
          <w:b/>
          <w:color w:val="134074"/>
          <w:sz w:val="23"/>
        </w:rPr>
        <w:t>15.7. Delimitación Estricta del Hash SHA-256: Integridad Digital vs. Certificación Sustantiva</w:t>
      </w:r>
    </w:p>
    <w:p>
      <w:pPr>
        <w:spacing w:after="80" w:before="0" w:line="276" w:lineRule="auto"/>
      </w:pPr>
      <w:r>
        <w:rPr>
          <w:rFonts w:ascii="Segoe UI" w:hAnsi="Segoe UI"/>
          <w:i w:val="0"/>
          <w:color w:val="1F2937"/>
          <w:sz w:val="19"/>
        </w:rPr>
        <w:t>Es un principio epistemológico y técnico fundamental del proyecto delimitar con exactitud el alcance de la criptografía aplicada a los documentos:</w:t>
      </w:r>
    </w:p>
    <w:tbl>
      <w:tblPr>
        <w:tblW w:type="auto" w:w="0"/>
        <w:jc w:val="center"/>
        <w:tblLayout w:type="fixed"/>
        <w:tblLook w:firstColumn="1" w:firstRow="1" w:lastColumn="0" w:lastRow="0" w:noHBand="0" w:noVBand="1" w:val="04A0"/>
      </w:tblPr>
      <w:tblGrid>
        <w:gridCol w:w="4658"/>
        <w:gridCol w:w="4658"/>
      </w:tblGrid>
      <w:tr>
        <w:trPr>
          <w:tblHeader/>
          <w:cantSplit/>
        </w:trPr>
        <w:tc>
          <w:tcPr>
            <w:tcW w:type="dxa" w:w="5184"/>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LO QUE EL HASH SHA-256 DEMUESTRA INEQUÍVOCAMENTE</w:t>
            </w:r>
          </w:p>
        </w:tc>
        <w:tc>
          <w:tcPr>
            <w:tcW w:type="dxa" w:w="5184"/>
            <w:shd w:fill="134074"/>
            <w:tcMar>
              <w:top w:w="120" w:type="dxa"/>
              <w:bottom w:w="120" w:type="dxa"/>
              <w:left w:w="120" w:type="dxa"/>
              <w:right w:w="12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LO QUE EL HASH SHA-256 NO DEMUESTRA EN ABSOLUTO</w:t>
            </w:r>
          </w:p>
        </w:tc>
      </w:tr>
      <w:tr>
        <w:trPr>
          <w:cantSplit/>
        </w:trPr>
        <w:tc>
          <w:tcPr>
            <w:tcW w:type="dxa" w:w="5184"/>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 "Este archivo es exactamente el archivo que se descargó y registró con este hash concreto."</w:t>
              <w:br/>
              <w:t>• Garantiza la integridad inmutable del fichero contra alteraciones o corrupción posterior.</w:t>
              <w:br/>
              <w:t>• Sella la fecha de corte y la cadena de custodia.</w:t>
            </w:r>
          </w:p>
        </w:tc>
        <w:tc>
          <w:tcPr>
            <w:tcW w:type="dxa" w:w="5184"/>
            <w:shd w:fill="FFFFFF"/>
            <w:tcMar>
              <w:top w:w="90" w:type="dxa"/>
              <w:bottom w:w="9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64" w:lineRule="auto"/>
            </w:pPr>
            <w:r>
              <w:rPr>
                <w:rFonts w:ascii="Segoe UI" w:hAnsi="Segoe UI"/>
                <w:color w:val="1F2937"/>
                <w:sz w:val="17"/>
              </w:rPr>
              <w:t>• NO demuestra que el emisor dijera la verdad.</w:t>
              <w:br/>
              <w:t>• NO demuestra que el informe esté bien auditado.</w:t>
              <w:br/>
              <w:t>• NO demuestra que el dato sea contable/comparable.</w:t>
              <w:br/>
              <w:t>• NO demuestra que la extracción sea infalible.</w:t>
              <w:br/>
              <w:t>• NO confiere legitimidad si la fuente no la tiene.</w:t>
            </w:r>
          </w:p>
        </w:tc>
      </w:tr>
    </w:tbl>
    <w:p>
      <w:pPr>
        <w:spacing w:after="80"/>
      </w:pPr>
    </w:p>
    <w:tbl>
      <w:tblPr>
        <w:tblW w:type="auto" w:w="0"/>
        <w:jc w:val="center"/>
        <w:tblLayout w:type="fixed"/>
        <w:tblLook w:firstColumn="1" w:firstRow="1" w:lastColumn="0" w:lastRow="0" w:noHBand="0" w:noVBand="1" w:val="04A0"/>
      </w:tblPr>
      <w:tblGrid>
        <w:gridCol w:w="9317"/>
      </w:tblGrid>
      <w:tr>
        <w:tc>
          <w:tcPr>
            <w:tcW w:type="dxa" w:w="9317"/>
            <w:shd w:fill="F0F4F8"/>
            <w:tcMar>
              <w:top w:w="120" w:type="dxa"/>
              <w:bottom w:w="120" w:type="dxa"/>
              <w:left w:w="180" w:type="dxa"/>
              <w:right w:w="160" w:type="dxa"/>
            </w:tcMar>
            <w:tcBorders>
              <w:top w:val="none" w:sz="24" w:space="0" w:color="134074"/>
              <w:left w:val="single" w:sz="24" w:space="0" w:color="134074"/>
              <w:bottom w:val="none" w:sz="24" w:space="0" w:color="134074"/>
              <w:right w:val="none" w:sz="24" w:space="0" w:color="134074"/>
            </w:tcBorders>
          </w:tcPr>
          <w:p>
            <w:pPr>
              <w:spacing w:after="0" w:before="0" w:line="276" w:lineRule="auto"/>
            </w:pPr>
            <w:r>
              <w:rPr>
                <w:rFonts w:ascii="Segoe UI" w:hAnsi="Segoe UI"/>
                <w:b/>
                <w:color w:val="0B2545"/>
                <w:sz w:val="19"/>
              </w:rPr>
              <w:t>Directriz Corporativa</w:t>
              <w:br/>
            </w:r>
            <w:r>
              <w:rPr>
                <w:rFonts w:ascii="Segoe UI" w:hAnsi="Segoe UI"/>
                <w:color w:val="1F2937"/>
                <w:sz w:val="18"/>
              </w:rPr>
              <w:t>La firma criptográfica SHA-256 debe describirse siempre ante clientes, inversores y reguladores como integridad digital de archivo y cadena de custodia técnica, jamás como una certificación sustantiva de veracidad contable o auditoría material.</w:t>
            </w:r>
          </w:p>
        </w:tc>
      </w:tr>
    </w:tbl>
    <w:p>
      <w:pPr>
        <w:spacing w:before="0" w:after="80"/>
      </w:pPr>
    </w:p>
    <w:p>
      <w:pPr>
        <w:keepNext/>
        <w:spacing w:before="240" w:after="80"/>
      </w:pPr>
      <w:r>
        <w:rPr>
          <w:rFonts w:ascii="Segoe UI" w:hAnsi="Segoe UI"/>
          <w:b/>
          <w:color w:val="134074"/>
          <w:sz w:val="23"/>
        </w:rPr>
        <w:t>15.8. Protocolo de Trazabilidad Integral para Etiquetas de Certeza</w:t>
      </w:r>
    </w:p>
    <w:p>
      <w:pPr>
        <w:spacing w:after="80" w:before="0" w:line="276" w:lineRule="auto"/>
      </w:pPr>
      <w:r>
        <w:rPr>
          <w:rFonts w:ascii="Segoe UI" w:hAnsi="Segoe UI"/>
          <w:i w:val="0"/>
          <w:color w:val="1F2937"/>
          <w:sz w:val="19"/>
        </w:rPr>
        <w:t>Para que las etiquetas epistemológicas del sistema (CONFIRMADA POR NORMA, CONFIRMADA POR FUENTE OFICIAL, INTERPRETACIÓN TÉCNICA, ELEMENTO NO CONFIRMADO, HIPÓTESIS EMPRESARIAL) posean plena validez y no constituyan declaraciones vacías, cada afirmación relevante de la plataforma debe vincularse obligatoriamente con seis puntos de anclaje:</w:t>
      </w:r>
    </w:p>
    <w:p>
      <w:pPr>
        <w:pStyle w:val="ListBullet"/>
        <w:spacing w:after="60" w:before="0" w:line="276" w:lineRule="auto"/>
        <w:ind w:left="360"/>
      </w:pPr>
      <w:r>
        <w:rPr>
          <w:rFonts w:ascii="Segoe UI" w:hAnsi="Segoe UI"/>
          <w:b/>
          <w:color w:val="1F2937"/>
          <w:sz w:val="19"/>
        </w:rPr>
        <w:t xml:space="preserve">1. Archivo fuente concreto: </w:t>
      </w:r>
      <w:r>
        <w:rPr>
          <w:rFonts w:ascii="Segoe UI" w:hAnsi="Segoe UI"/>
          <w:color w:val="1F2937"/>
          <w:sz w:val="19"/>
        </w:rPr>
        <w:t>Identificador único y nombre del fichero en el repositorio data/raw/.</w:t>
      </w:r>
    </w:p>
    <w:p>
      <w:pPr>
        <w:pStyle w:val="ListBullet"/>
        <w:spacing w:after="60" w:before="0" w:line="276" w:lineRule="auto"/>
        <w:ind w:left="360"/>
      </w:pPr>
      <w:r>
        <w:rPr>
          <w:rFonts w:ascii="Segoe UI" w:hAnsi="Segoe UI"/>
          <w:b/>
          <w:color w:val="1F2937"/>
          <w:sz w:val="19"/>
        </w:rPr>
        <w:t xml:space="preserve">2. Página o sección exacta: </w:t>
      </w:r>
      <w:r>
        <w:rPr>
          <w:rFonts w:ascii="Segoe UI" w:hAnsi="Segoe UI"/>
          <w:color w:val="1F2937"/>
          <w:sz w:val="19"/>
        </w:rPr>
        <w:t>Referencia física o de marcado dentro del documento analizado.</w:t>
      </w:r>
    </w:p>
    <w:p>
      <w:pPr>
        <w:pStyle w:val="ListBullet"/>
        <w:spacing w:after="60" w:before="0" w:line="276" w:lineRule="auto"/>
        <w:ind w:left="360"/>
      </w:pPr>
      <w:r>
        <w:rPr>
          <w:rFonts w:ascii="Segoe UI" w:hAnsi="Segoe UI"/>
          <w:b/>
          <w:color w:val="1F2937"/>
          <w:sz w:val="19"/>
        </w:rPr>
        <w:t xml:space="preserve">3. URL original: </w:t>
      </w:r>
      <w:r>
        <w:rPr>
          <w:rFonts w:ascii="Segoe UI" w:hAnsi="Segoe UI"/>
          <w:color w:val="1F2937"/>
          <w:sz w:val="19"/>
        </w:rPr>
        <w:t>Enlace de descarga oficial del organismo supervisor (OAM / regulador).</w:t>
      </w:r>
    </w:p>
    <w:p>
      <w:pPr>
        <w:pStyle w:val="ListBullet"/>
        <w:spacing w:after="60" w:before="0" w:line="276" w:lineRule="auto"/>
        <w:ind w:left="360"/>
      </w:pPr>
      <w:r>
        <w:rPr>
          <w:rFonts w:ascii="Segoe UI" w:hAnsi="Segoe UI"/>
          <w:b/>
          <w:color w:val="1F2937"/>
          <w:sz w:val="19"/>
        </w:rPr>
        <w:t xml:space="preserve">4. Fecha de descarga: </w:t>
      </w:r>
      <w:r>
        <w:rPr>
          <w:rFonts w:ascii="Segoe UI" w:hAnsi="Segoe UI"/>
          <w:color w:val="1F2937"/>
          <w:sz w:val="19"/>
        </w:rPr>
        <w:t>Registro temporal UTC del momento de captura.</w:t>
      </w:r>
    </w:p>
    <w:p>
      <w:pPr>
        <w:pStyle w:val="ListBullet"/>
        <w:spacing w:after="60" w:before="0" w:line="276" w:lineRule="auto"/>
        <w:ind w:left="360"/>
      </w:pPr>
      <w:r>
        <w:rPr>
          <w:rFonts w:ascii="Segoe UI" w:hAnsi="Segoe UI"/>
          <w:b/>
          <w:color w:val="1F2937"/>
          <w:sz w:val="19"/>
        </w:rPr>
        <w:t xml:space="preserve">5. Hash SHA-256 del documento fuente: </w:t>
      </w:r>
      <w:r>
        <w:rPr>
          <w:rFonts w:ascii="Segoe UI" w:hAnsi="Segoe UI"/>
          <w:color w:val="1F2937"/>
          <w:sz w:val="19"/>
        </w:rPr>
        <w:t>Código hexadecimal inmutable que sella el archivo original.</w:t>
      </w:r>
    </w:p>
    <w:p>
      <w:pPr>
        <w:pStyle w:val="ListBullet"/>
        <w:spacing w:after="60" w:before="0" w:line="276" w:lineRule="auto"/>
        <w:ind w:left="360"/>
      </w:pPr>
      <w:r>
        <w:rPr>
          <w:rFonts w:ascii="Segoe UI" w:hAnsi="Segoe UI"/>
          <w:b/>
          <w:color w:val="1F2937"/>
          <w:sz w:val="19"/>
        </w:rPr>
        <w:t xml:space="preserve">6. Fragmento textual exacto: </w:t>
      </w:r>
      <w:r>
        <w:rPr>
          <w:rFonts w:ascii="Segoe UI" w:hAnsi="Segoe UI"/>
          <w:color w:val="1F2937"/>
          <w:sz w:val="19"/>
        </w:rPr>
        <w:t>Cita literal mínima y proporcional que sustenta la afirmación analítica.</w:t>
      </w:r>
    </w:p>
    <w:p>
      <w:pPr>
        <w:spacing w:after="40" w:before="0" w:line="276" w:lineRule="auto"/>
      </w:pPr>
      <w:r>
        <w:rPr>
          <w:rFonts w:ascii="Segoe UI" w:hAnsi="Segoe UI"/>
          <w:i/>
          <w:color w:val="1F2937"/>
          <w:sz w:val="19"/>
        </w:rPr>
        <w:t>Fin del informe. Versión 1.0 — 22 de agosto de 2026.</w:t>
      </w:r>
    </w:p>
    <w:p>
      <w:pPr>
        <w:spacing w:after="40" w:before="0" w:line="276" w:lineRule="auto"/>
      </w:pPr>
      <w:r>
        <w:rPr>
          <w:rFonts w:ascii="Segoe UI" w:hAnsi="Segoe UI"/>
          <w:i/>
          <w:color w:val="1F2937"/>
          <w:sz w:val="19"/>
        </w:rPr>
        <w:t>Este documento es confidencial y está destinado exclusivamente al fundador del proyecto STATER.</w:t>
      </w:r>
    </w:p>
    <w:p>
      <w:pPr>
        <w:spacing w:after="40" w:before="0" w:line="276" w:lineRule="auto"/>
      </w:pPr>
      <w:r>
        <w:rPr>
          <w:rFonts w:ascii="Segoe UI" w:hAnsi="Segoe UI"/>
          <w:i/>
          <w:color w:val="1F2937"/>
          <w:sz w:val="19"/>
        </w:rPr>
        <w:t>No constituye asesoramiento jurídico ni financiero.</w:t>
      </w:r>
    </w:p>
    <w:p>
      <w:pPr>
        <w:spacing w:after="120" w:before="0" w:line="276" w:lineRule="auto"/>
      </w:pPr>
      <w:r>
        <w:rPr>
          <w:rFonts w:ascii="Segoe UI" w:hAnsi="Segoe UI"/>
          <w:i/>
          <w:color w:val="1F2937"/>
          <w:sz w:val="19"/>
        </w:rPr>
        <w:t>Elaborado por: Antigravity IDE — Claude 3.7 Sonnet (IA encargada) y Fundador</w:t>
      </w:r>
    </w:p>
    <w:sectPr w:rsidR="00FC693F" w:rsidRPr="0006063C" w:rsidSect="00034616">
      <w:headerReference w:type="default" r:id="rId9"/>
      <w:footerReference w:type="default" r:id="rId10"/>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78909C"/>
        <w:sz w:val="17"/>
      </w:rPr>
      <w:t>Confidencial — Uso del fundador y colaboradores designados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8909C"/>
        <w:sz w:val="17"/>
      </w:rPr>
      <w:t>STATER · REX · Informe Jurídico, Contable, Técnico y Empresarial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Segoe UI" w:hAnsi="Segoe U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