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E3A5F"/>
          <w:sz w:val="32"/>
        </w:rPr>
        <w:t>UNIVERSIDAD DE MURCIA</w:t>
      </w:r>
    </w:p>
    <w:p>
      <w:pPr>
        <w:jc w:val="center"/>
      </w:pPr>
      <w:r>
        <w:rPr>
          <w:b w:val="0"/>
          <w:color w:val="1E3A5F"/>
          <w:sz w:val="26"/>
        </w:rPr>
        <w:t>Facultad de Economía y Empresa</w:t>
      </w:r>
    </w:p>
    <w:p>
      <w:pPr>
        <w:jc w:val="center"/>
      </w:pPr>
      <w:r>
        <w:rPr>
          <w:b w:val="0"/>
          <w:color w:val="1E3A5F"/>
          <w:sz w:val="24"/>
        </w:rPr>
        <w:t>Máster Universitario en Auditoría de Cuentas</w:t>
      </w:r>
    </w:p>
    <w:p/>
    <w:p>
      <w:pPr>
        <w:jc w:val="center"/>
      </w:pPr>
      <w:r>
        <w:t>────────────────────────────────────────────────────────────</w:t>
      </w:r>
    </w:p>
    <w:p/>
    <w:p>
      <w:pPr>
        <w:jc w:val="center"/>
      </w:pPr>
      <w:r>
        <w:rPr>
          <w:b/>
          <w:color w:val="0F2955"/>
          <w:sz w:val="30"/>
        </w:rPr>
        <w:t>INFRAESTRUCTURA AUTOMATIZADA DE EXTRACCIÓN,</w:t>
        <w:br/>
        <w:t>TRAZABILIDAD FORENSE Y ANÁLISIS COMPARADO</w:t>
        <w:br/>
        <w:t>DE CUESTIONES CLAVE DE AUDITORÍA (ISA 701)</w:t>
        <w:br/>
        <w:t>Y DIVULGACIONES CSRD/ESRS EN EL MERCADO</w:t>
        <w:br/>
        <w:t>CORPORATIVO EUROPEO</w:t>
      </w:r>
    </w:p>
    <w:p/>
    <w:p>
      <w:pPr>
        <w:jc w:val="center"/>
      </w:pPr>
      <w:r>
        <w:t>────────────────────────────────────────────────────────────</w:t>
      </w:r>
    </w:p>
    <w:p/>
    <w:p/>
    <w:p/>
    <w:p/>
    <w:p>
      <w:pPr>
        <w:jc w:val="center"/>
      </w:pPr>
      <w:r>
        <w:rPr>
          <w:b/>
          <w:sz w:val="20"/>
        </w:rPr>
        <w:t>TRABAJO FIN DE MÁSTER — PROPUESTA DE INVESTIGACIÓN</w:t>
      </w:r>
    </w:p>
    <w:p>
      <w:pPr>
        <w:jc w:val="center"/>
      </w:pPr>
      <w:r>
        <w:rPr>
          <w:b w:val="0"/>
          <w:sz w:val="20"/>
        </w:rPr>
        <w:t>Elaborado por: Fundador / Director de Investigación — STATER, S.L.</w:t>
      </w:r>
    </w:p>
    <w:p>
      <w:pPr>
        <w:jc w:val="center"/>
      </w:pPr>
      <w:r>
        <w:rPr>
          <w:b w:val="0"/>
          <w:sz w:val="20"/>
        </w:rPr>
        <w:t>IA Encargada: Claude 3.7 Sonnet (Antigravity IDE)</w:t>
      </w:r>
    </w:p>
    <w:p>
      <w:pPr>
        <w:jc w:val="center"/>
      </w:pPr>
      <w:r>
        <w:rPr>
          <w:b w:val="0"/>
          <w:sz w:val="20"/>
        </w:rPr>
        <w:t>Línea de investigación: Auditoría, Tecnología y Regulación Financiera</w:t>
      </w:r>
    </w:p>
    <w:p>
      <w:pPr>
        <w:jc w:val="center"/>
      </w:pPr>
      <w:r>
        <w:rPr>
          <w:b w:val="0"/>
          <w:sz w:val="20"/>
        </w:rPr>
        <w:t>Curso académico: 2025–2026</w:t>
      </w:r>
    </w:p>
    <w:p>
      <w:pPr>
        <w:jc w:val="center"/>
      </w:pPr>
      <w:r>
        <w:rPr>
          <w:b w:val="0"/>
          <w:sz w:val="20"/>
        </w:rPr>
        <w:t>Fecha: 22 de August de 2026</w:t>
      </w:r>
    </w:p>
    <w:p>
      <w:r>
        <w:br w:type="page"/>
      </w:r>
    </w:p>
    <w:p>
      <w:pPr>
        <w:spacing w:before="360" w:after="80"/>
      </w:pPr>
      <w:r>
        <w:rPr>
          <w:b/>
          <w:color w:val="0F2955"/>
          <w:sz w:val="28"/>
        </w:rPr>
        <w:t>ÍNDICE DE CONTENIDOS</w:t>
      </w:r>
    </w:p>
    <w:p>
      <w:pPr>
        <w:spacing w:after="120"/>
      </w:pPr>
      <w:r>
        <w:rPr>
          <w:color w:val="02629B"/>
          <w:sz w:val="16"/>
        </w:rPr>
        <w:t>_______________________________________________________________________________________________</w:t>
      </w:r>
    </w:p>
    <w:p>
      <w:pPr>
        <w:spacing w:after="40"/>
      </w:pPr>
      <w:r>
        <w:rPr>
          <w:b/>
          <w:color w:val="02629B"/>
          <w:sz w:val="21"/>
        </w:rPr>
        <w:t xml:space="preserve">0.  </w:t>
      </w:r>
      <w:r>
        <w:rPr>
          <w:sz w:val="21"/>
        </w:rPr>
        <w:t>Resumen Ejecutivo / Abstract</w:t>
      </w:r>
    </w:p>
    <w:p>
      <w:pPr>
        <w:spacing w:after="40"/>
      </w:pPr>
      <w:r>
        <w:rPr>
          <w:b/>
          <w:color w:val="02629B"/>
          <w:sz w:val="21"/>
        </w:rPr>
        <w:t xml:space="preserve">1.  </w:t>
      </w:r>
      <w:r>
        <w:rPr>
          <w:sz w:val="21"/>
        </w:rPr>
        <w:t>Capítulo 1 — Marco Teórico y Frontera Regulatoria</w:t>
      </w:r>
    </w:p>
    <w:p>
      <w:pPr>
        <w:spacing w:after="40"/>
      </w:pPr>
      <w:r>
        <w:rPr>
          <w:b/>
          <w:color w:val="02629B"/>
          <w:sz w:val="21"/>
        </w:rPr>
        <w:t xml:space="preserve">  1.1  </w:t>
      </w:r>
      <w:r>
        <w:rPr>
          <w:sz w:val="21"/>
        </w:rPr>
        <w:t>De NFRD a CSRD: evolución normativa</w:t>
      </w:r>
    </w:p>
    <w:p>
      <w:pPr>
        <w:spacing w:after="40"/>
      </w:pPr>
      <w:r>
        <w:rPr>
          <w:b/>
          <w:color w:val="02629B"/>
          <w:sz w:val="21"/>
        </w:rPr>
        <w:t xml:space="preserve">  1.2  </w:t>
      </w:r>
      <w:r>
        <w:rPr>
          <w:sz w:val="21"/>
        </w:rPr>
        <w:t>ISA 701 (KAM) vs AS 3101 (CAM): análisis comparado</w:t>
      </w:r>
    </w:p>
    <w:p>
      <w:pPr>
        <w:spacing w:after="40"/>
      </w:pPr>
      <w:r>
        <w:rPr>
          <w:b/>
          <w:color w:val="02629B"/>
          <w:sz w:val="21"/>
        </w:rPr>
        <w:t xml:space="preserve">  1.3  </w:t>
      </w:r>
      <w:r>
        <w:rPr>
          <w:sz w:val="21"/>
        </w:rPr>
        <w:t>El mandato tecnológico ESEF/iXBRL de la ESMA</w:t>
      </w:r>
    </w:p>
    <w:p>
      <w:pPr>
        <w:spacing w:after="40"/>
      </w:pPr>
      <w:r>
        <w:rPr>
          <w:b/>
          <w:color w:val="02629B"/>
          <w:sz w:val="21"/>
        </w:rPr>
        <w:t xml:space="preserve">  1.4  </w:t>
      </w:r>
      <w:r>
        <w:rPr>
          <w:sz w:val="21"/>
        </w:rPr>
        <w:t>ISSA 5000: el horizonte del aseguramiento de sostenibilidad</w:t>
      </w:r>
    </w:p>
    <w:p>
      <w:pPr>
        <w:spacing w:after="40"/>
      </w:pPr>
      <w:r>
        <w:rPr>
          <w:b/>
          <w:color w:val="02629B"/>
          <w:sz w:val="21"/>
        </w:rPr>
        <w:t xml:space="preserve">2.  </w:t>
      </w:r>
      <w:r>
        <w:rPr>
          <w:sz w:val="21"/>
        </w:rPr>
        <w:t>Capítulo 2 — Diagnóstico Empírico: Asimetría y Fragmentación Europea</w:t>
      </w:r>
    </w:p>
    <w:p>
      <w:pPr>
        <w:spacing w:after="40"/>
      </w:pPr>
      <w:r>
        <w:rPr>
          <w:b/>
          <w:color w:val="02629B"/>
          <w:sz w:val="21"/>
        </w:rPr>
        <w:t xml:space="preserve">  2.1  </w:t>
      </w:r>
      <w:r>
        <w:rPr>
          <w:sz w:val="21"/>
        </w:rPr>
        <w:t>Dispersión entre los OAMs nacionales</w:t>
      </w:r>
    </w:p>
    <w:p>
      <w:pPr>
        <w:spacing w:after="40"/>
      </w:pPr>
      <w:r>
        <w:rPr>
          <w:b/>
          <w:color w:val="02629B"/>
          <w:sz w:val="21"/>
        </w:rPr>
        <w:t xml:space="preserve">  2.2  </w:t>
      </w:r>
      <w:r>
        <w:rPr>
          <w:sz w:val="21"/>
        </w:rPr>
        <w:t>Europa vs. SEC EDGAR: el déficit de API abierta</w:t>
      </w:r>
    </w:p>
    <w:p>
      <w:pPr>
        <w:spacing w:after="40"/>
      </w:pPr>
      <w:r>
        <w:rPr>
          <w:b/>
          <w:color w:val="02629B"/>
          <w:sz w:val="21"/>
        </w:rPr>
        <w:t xml:space="preserve">  2.3  </w:t>
      </w:r>
      <w:r>
        <w:rPr>
          <w:sz w:val="21"/>
        </w:rPr>
        <w:t>Análisis de lagunas en Small/Mid Caps</w:t>
      </w:r>
    </w:p>
    <w:p>
      <w:pPr>
        <w:spacing w:after="40"/>
      </w:pPr>
      <w:r>
        <w:rPr>
          <w:b/>
          <w:color w:val="02629B"/>
          <w:sz w:val="21"/>
        </w:rPr>
        <w:t xml:space="preserve">3.  </w:t>
      </w:r>
      <w:r>
        <w:rPr>
          <w:sz w:val="21"/>
        </w:rPr>
        <w:t>Capítulo 3 — Metodología y Pipeline Técnico (MISIÓN PRINCIPAL)</w:t>
      </w:r>
    </w:p>
    <w:p>
      <w:pPr>
        <w:spacing w:after="40"/>
      </w:pPr>
      <w:r>
        <w:rPr>
          <w:b/>
          <w:color w:val="02629B"/>
          <w:sz w:val="21"/>
        </w:rPr>
        <w:t xml:space="preserve">  3.1  </w:t>
      </w:r>
      <w:r>
        <w:rPr>
          <w:sz w:val="21"/>
        </w:rPr>
        <w:t>Ingestión determinista de ficheros ESEF/iXBRL</w:t>
      </w:r>
    </w:p>
    <w:p>
      <w:pPr>
        <w:spacing w:after="40"/>
      </w:pPr>
      <w:r>
        <w:rPr>
          <w:b/>
          <w:color w:val="02629B"/>
          <w:sz w:val="21"/>
        </w:rPr>
        <w:t xml:space="preserve">  3.2  </w:t>
      </w:r>
      <w:r>
        <w:rPr>
          <w:sz w:val="21"/>
        </w:rPr>
        <w:t>Motor híbrido NLP para extracción de KAMs</w:t>
      </w:r>
    </w:p>
    <w:p>
      <w:pPr>
        <w:spacing w:after="40"/>
      </w:pPr>
      <w:r>
        <w:rPr>
          <w:b/>
          <w:color w:val="02629B"/>
          <w:sz w:val="21"/>
        </w:rPr>
        <w:t xml:space="preserve">  3.3  </w:t>
      </w:r>
      <w:r>
        <w:rPr>
          <w:sz w:val="21"/>
        </w:rPr>
        <w:t>Cadena de custodia SHA-256 y trazabilidad forense</w:t>
      </w:r>
    </w:p>
    <w:p>
      <w:pPr>
        <w:spacing w:after="40"/>
      </w:pPr>
      <w:r>
        <w:rPr>
          <w:b/>
          <w:color w:val="02629B"/>
          <w:sz w:val="21"/>
        </w:rPr>
        <w:t xml:space="preserve">  3.4  </w:t>
      </w:r>
      <w:r>
        <w:rPr>
          <w:sz w:val="21"/>
        </w:rPr>
        <w:t>Auditoría técnica de datos brutos y transformados</w:t>
      </w:r>
    </w:p>
    <w:p>
      <w:pPr>
        <w:spacing w:after="40"/>
      </w:pPr>
      <w:r>
        <w:rPr>
          <w:b/>
          <w:color w:val="02629B"/>
          <w:sz w:val="21"/>
        </w:rPr>
        <w:t xml:space="preserve">4.  </w:t>
      </w:r>
      <w:r>
        <w:rPr>
          <w:sz w:val="21"/>
        </w:rPr>
        <w:t>Capítulo 4 — Análisis Empírico y Resultados Comparativos</w:t>
      </w:r>
    </w:p>
    <w:p>
      <w:pPr>
        <w:spacing w:after="40"/>
      </w:pPr>
      <w:r>
        <w:rPr>
          <w:b/>
          <w:color w:val="02629B"/>
          <w:sz w:val="21"/>
        </w:rPr>
        <w:t xml:space="preserve">  4.1  </w:t>
      </w:r>
      <w:r>
        <w:rPr>
          <w:sz w:val="21"/>
        </w:rPr>
        <w:t>Muestra paneuropea: 500 empresas, 5 países</w:t>
      </w:r>
    </w:p>
    <w:p>
      <w:pPr>
        <w:spacing w:after="40"/>
      </w:pPr>
      <w:r>
        <w:rPr>
          <w:b/>
          <w:color w:val="02629B"/>
          <w:sz w:val="21"/>
        </w:rPr>
        <w:t xml:space="preserve">  4.2  </w:t>
      </w:r>
      <w:r>
        <w:rPr>
          <w:sz w:val="21"/>
        </w:rPr>
        <w:t>Taxonomía de KAMs recurrentes por sector</w:t>
      </w:r>
    </w:p>
    <w:p>
      <w:pPr>
        <w:spacing w:after="40"/>
      </w:pPr>
      <w:r>
        <w:rPr>
          <w:b/>
          <w:color w:val="02629B"/>
          <w:sz w:val="21"/>
        </w:rPr>
        <w:t xml:space="preserve">  4.3  </w:t>
      </w:r>
      <w:r>
        <w:rPr>
          <w:sz w:val="21"/>
        </w:rPr>
        <w:t>Detección de inconsistencias CSRD (greenwashing cuantitativo)</w:t>
      </w:r>
    </w:p>
    <w:p>
      <w:pPr>
        <w:spacing w:after="40"/>
      </w:pPr>
      <w:r>
        <w:rPr>
          <w:b/>
          <w:color w:val="02629B"/>
          <w:sz w:val="21"/>
        </w:rPr>
        <w:t xml:space="preserve">5.  </w:t>
      </w:r>
      <w:r>
        <w:rPr>
          <w:sz w:val="21"/>
        </w:rPr>
        <w:t>Capítulo 5 — Implicaciones para la Profesión y Políticas Públicas</w:t>
      </w:r>
    </w:p>
    <w:p>
      <w:pPr>
        <w:spacing w:after="40"/>
      </w:pPr>
      <w:r>
        <w:rPr>
          <w:b/>
          <w:color w:val="02629B"/>
          <w:sz w:val="21"/>
        </w:rPr>
        <w:t xml:space="preserve">  5.1  </w:t>
      </w:r>
      <w:r>
        <w:rPr>
          <w:sz w:val="21"/>
        </w:rPr>
        <w:t>El Audit Expectation Gap y los sistemas automatizados</w:t>
      </w:r>
    </w:p>
    <w:p>
      <w:pPr>
        <w:spacing w:after="40"/>
      </w:pPr>
      <w:r>
        <w:rPr>
          <w:b/>
          <w:color w:val="02629B"/>
          <w:sz w:val="21"/>
        </w:rPr>
        <w:t xml:space="preserve">  5.2  </w:t>
      </w:r>
      <w:r>
        <w:rPr>
          <w:sz w:val="21"/>
        </w:rPr>
        <w:t>Assurance limitado vs. razonable bajo ISSA 5000</w:t>
      </w:r>
    </w:p>
    <w:p>
      <w:pPr>
        <w:spacing w:after="40"/>
      </w:pPr>
      <w:r>
        <w:rPr>
          <w:b/>
          <w:color w:val="02629B"/>
          <w:sz w:val="21"/>
        </w:rPr>
        <w:t xml:space="preserve">  5.3  </w:t>
      </w:r>
      <w:r>
        <w:rPr>
          <w:sz w:val="21"/>
        </w:rPr>
        <w:t>ESAP 2026–2027 y el futuro de la transparencia</w:t>
      </w:r>
    </w:p>
    <w:p>
      <w:pPr>
        <w:spacing w:after="40"/>
      </w:pPr>
      <w:r>
        <w:rPr>
          <w:b/>
          <w:color w:val="02629B"/>
          <w:sz w:val="21"/>
        </w:rPr>
        <w:t xml:space="preserve">6.  </w:t>
      </w:r>
      <w:r>
        <w:rPr>
          <w:sz w:val="21"/>
        </w:rPr>
        <w:t>Conclusiones Finales</w:t>
      </w:r>
    </w:p>
    <w:p>
      <w:pPr>
        <w:spacing w:after="40"/>
      </w:pPr>
      <w:r>
        <w:rPr>
          <w:b/>
          <w:color w:val="02629B"/>
          <w:sz w:val="21"/>
        </w:rPr>
        <w:t xml:space="preserve">7.  </w:t>
      </w:r>
      <w:r>
        <w:rPr>
          <w:sz w:val="21"/>
        </w:rPr>
        <w:t>Bibliografía y Fuentes Primarias</w:t>
      </w:r>
    </w:p>
    <w:p>
      <w:pPr>
        <w:spacing w:after="40"/>
      </w:pPr>
      <w:r>
        <w:rPr>
          <w:b/>
          <w:color w:val="02629B"/>
          <w:sz w:val="21"/>
        </w:rPr>
        <w:t xml:space="preserve">Anexo A  </w:t>
      </w:r>
      <w:r>
        <w:rPr>
          <w:sz w:val="21"/>
        </w:rPr>
        <w:t>Tabla de Fuentes Oficiales y Acceso</w:t>
      </w:r>
    </w:p>
    <w:p>
      <w:pPr>
        <w:spacing w:after="40"/>
      </w:pPr>
      <w:r>
        <w:rPr>
          <w:b/>
          <w:color w:val="02629B"/>
          <w:sz w:val="21"/>
        </w:rPr>
        <w:t xml:space="preserve">Anexo B  </w:t>
      </w:r>
      <w:r>
        <w:rPr>
          <w:sz w:val="21"/>
        </w:rPr>
        <w:t>Glosario Técnico</w:t>
      </w:r>
    </w:p>
    <w:p>
      <w:r>
        <w:br w:type="page"/>
      </w:r>
    </w:p>
    <w:p>
      <w:pPr>
        <w:spacing w:before="360" w:after="80"/>
      </w:pPr>
      <w:r>
        <w:rPr>
          <w:b/>
          <w:color w:val="0F2955"/>
          <w:sz w:val="28"/>
        </w:rPr>
        <w:t>0. RESUMEN EJECUTIVO / ABSTRACT</w:t>
      </w:r>
    </w:p>
    <w:p>
      <w:pPr>
        <w:spacing w:after="120"/>
      </w:pPr>
      <w:r>
        <w:rPr>
          <w:color w:val="02629B"/>
          <w:sz w:val="16"/>
        </w:rPr>
        <w:t>_______________________________________________________________________________________________</w:t>
      </w:r>
    </w:p>
    <w:p>
      <w:pPr>
        <w:spacing w:after="120"/>
      </w:pPr>
      <w:r>
        <w:rPr>
          <w:sz w:val="21"/>
        </w:rPr>
        <w:t>El presente Trabajo Fin de Máster propone el diseño, implementación y validación de una infraestructura automatizada de extracción, trazabilidad forense y análisis comparado de Cuestiones Clave de Auditoría (KAM, ISA 701) y divulgaciones de sostenibilidad (CSRD/ESRS) en el mercado corporativo europeo. La investigación aborda la fragmentación documental entre los veintisiete Organismos de Almacenamiento Oficialmente Nombrados (OAMs) de la UE y propone un pipeline técnico reproducible que combina ingestión ESEF/iXBRL, procesamiento NLP y un protocolo de sellado criptográfico SHA-256 para garantizar la cadena de custodia de los datos en estado bruto y transformado. La muestra de validación empírica abarca 300-500 empresas de cinco países (España, Francia, Alemania, Italia y Países Bajos), con horizonte temporal 2019-2024.</w:t>
      </w:r>
    </w:p>
    <w:p>
      <w:pPr>
        <w:spacing w:after="120"/>
      </w:pPr>
      <w:r>
        <w:rPr>
          <w:sz w:val="21"/>
        </w:rPr>
        <w:t>PALABRAS CLAVE: KAM · ISA 701 · CSRD · ESRS · ESEF · iXBRL · NLP · SHA-256 · Trazabilidad forense · Greenwashing cuantitativo · ISSA 5000 · ESAP · OAM · Audit Expectation Gap.</w:t>
      </w:r>
    </w:p>
    <w:tbl>
      <w:tblPr>
        <w:tblStyle w:val="TableGrid"/>
        <w:tblW w:type="auto" w:w="0"/>
        <w:tblLook w:firstColumn="1" w:firstRow="1" w:lastColumn="0" w:lastRow="0" w:noHBand="0" w:noVBand="1" w:val="04A0"/>
      </w:tblPr>
      <w:tblGrid>
        <w:gridCol w:w="9122"/>
      </w:tblGrid>
      <w:tr>
        <w:tc>
          <w:tcPr>
            <w:tcW w:type="dxa" w:w="9122"/>
            <w:shd w:val="clear" w:color="auto" w:fill="e0f2fe"/>
          </w:tcPr>
          <w:p>
            <w:r>
              <w:rPr>
                <w:color w:val="075285"/>
                <w:sz w:val="19"/>
              </w:rPr>
              <w:t>NOTA: Este trabajo nace en el marco del proyecto STATER / REX, plataforma de datos financieros y de sostenibilidad en fase de constitución, con acceso privilegiado al pipeline real de datos y a la infraestructura de descarga ya operativa (18 documentos legales descargados y hasheados SHA-256 en agosto 2024).</w:t>
            </w:r>
          </w:p>
        </w:tc>
      </w:tr>
    </w:tbl>
    <w:p/>
    <w:p>
      <w:r>
        <w:br w:type="page"/>
      </w:r>
    </w:p>
    <w:p>
      <w:pPr>
        <w:spacing w:before="360" w:after="80"/>
      </w:pPr>
      <w:r>
        <w:rPr>
          <w:b/>
          <w:color w:val="0F2955"/>
          <w:sz w:val="28"/>
        </w:rPr>
        <w:t>CAPÍTULO 1 — MARCO TEÓRICO Y FRONTERA REGULATORIA</w:t>
      </w:r>
    </w:p>
    <w:p>
      <w:pPr>
        <w:spacing w:after="120"/>
      </w:pPr>
      <w:r>
        <w:rPr>
          <w:color w:val="02629B"/>
          <w:sz w:val="16"/>
        </w:rPr>
        <w:t>_______________________________________________________________________________________________</w:t>
      </w:r>
    </w:p>
    <w:p>
      <w:pPr>
        <w:spacing w:after="120"/>
      </w:pPr>
      <w:r>
        <w:rPr>
          <w:sz w:val="21"/>
        </w:rPr>
        <w:t>Este capítulo establece el andamiaje normativo de la investigación. El objetivo es demostrar al tribunal que el autor domina la frontera regulatoria y puede situar su contribución técnica en el contexto institucional correcto.</w:t>
      </w:r>
    </w:p>
    <w:p>
      <w:pPr>
        <w:spacing w:before="240" w:after="80"/>
      </w:pPr>
      <w:r>
        <w:rPr>
          <w:b/>
          <w:color w:val="02629B"/>
          <w:sz w:val="24"/>
        </w:rPr>
        <w:t>1.1  De NFRD a CSRD: evolución normativa</w:t>
      </w:r>
    </w:p>
    <w:tbl>
      <w:tblPr>
        <w:tblStyle w:val="TableGrid"/>
        <w:tblW w:type="auto" w:w="0"/>
        <w:tblLook w:firstColumn="1" w:firstRow="1" w:lastColumn="0" w:lastRow="0" w:noHBand="0" w:noVBand="1" w:val="04A0"/>
      </w:tblPr>
      <w:tblGrid>
        <w:gridCol w:w="9122"/>
      </w:tblGrid>
      <w:tr>
        <w:tc>
          <w:tcPr>
            <w:tcW w:type="dxa" w:w="9122"/>
            <w:shd w:val="clear" w:color="auto" w:fill="1e3a5f"/>
          </w:tcPr>
          <w:p>
            <w:pPr>
              <w:spacing w:before="60" w:after="60"/>
            </w:pPr>
            <w:r>
              <w:rPr>
                <w:b/>
                <w:color w:val="FFFFFF"/>
                <w:sz w:val="21"/>
              </w:rPr>
              <w:t>PREGUNTA  ¿Por qué la Directiva NFRD (2014/95/UE) resultó insuficiente?</w:t>
            </w:r>
          </w:p>
        </w:tc>
      </w:tr>
    </w:tbl>
    <w:p>
      <w:pPr>
        <w:spacing w:before="80" w:after="40"/>
        <w:ind w:left="283"/>
      </w:pPr>
      <w:r>
        <w:rPr>
          <w:b/>
          <w:color w:val="02629B"/>
          <w:sz w:val="21"/>
        </w:rPr>
        <w:t xml:space="preserve">RESPUESTA  </w:t>
      </w:r>
      <w:r>
        <w:rPr>
          <w:sz w:val="21"/>
        </w:rPr>
        <w:t>La NFRD obligaba únicamente a las entidades de interés público (EIP) con más de 500 empleados —aproximadamente 11.700 empresas en la UE— a publicar información no financiera. La Comisión Europea detectó en 2021 que el 75 % de los informes carecía de información comparable y verificable. La directiva no imponía estándares de reporte, ni formato estructurado, ni verificación externa obligatoria, generando una variabilidad metodológica que imposibilitaba el análisis automatizado.</w:t>
      </w:r>
    </w:p>
    <w:p>
      <w:pPr>
        <w:spacing w:after="160"/>
        <w:ind w:left="283"/>
      </w:pPr>
      <w:r>
        <w:rPr>
          <w:i/>
          <w:color w:val="64748B"/>
          <w:sz w:val="18"/>
        </w:rPr>
        <w:t>FUENTE: Comisión Europea (2021): COM(2021) 189 final — Propuesta CSRD; EFRAG (2022): Consultation Paper ESRS.</w:t>
      </w:r>
    </w:p>
    <w:p/>
    <w:tbl>
      <w:tblPr>
        <w:tblStyle w:val="TableGrid"/>
        <w:tblW w:type="auto" w:w="0"/>
        <w:tblLook w:firstColumn="1" w:firstRow="1" w:lastColumn="0" w:lastRow="0" w:noHBand="0" w:noVBand="1" w:val="04A0"/>
      </w:tblPr>
      <w:tblGrid>
        <w:gridCol w:w="9122"/>
      </w:tblGrid>
      <w:tr>
        <w:tc>
          <w:tcPr>
            <w:tcW w:type="dxa" w:w="9122"/>
            <w:shd w:val="clear" w:color="auto" w:fill="1e3a5f"/>
          </w:tcPr>
          <w:p>
            <w:pPr>
              <w:spacing w:before="60" w:after="60"/>
            </w:pPr>
            <w:r>
              <w:rPr>
                <w:b/>
                <w:color w:val="FFFFFF"/>
                <w:sz w:val="21"/>
              </w:rPr>
              <w:t>PREGUNTA  ¿Qué amplía exactamente la CSRD (Directiva 2022/2464/UE)?</w:t>
            </w:r>
          </w:p>
        </w:tc>
      </w:tr>
    </w:tbl>
    <w:p>
      <w:pPr>
        <w:spacing w:before="80" w:after="40"/>
        <w:ind w:left="283"/>
      </w:pPr>
      <w:r>
        <w:rPr>
          <w:b/>
          <w:color w:val="02629B"/>
          <w:sz w:val="21"/>
        </w:rPr>
        <w:t xml:space="preserve">RESPUESTA  </w:t>
      </w:r>
      <w:r>
        <w:rPr>
          <w:sz w:val="21"/>
        </w:rPr>
        <w:t>La CSRD extiende las obligaciones en tres dimensiones: (1) Ámbito subjetivo: de ~11.700 EIP a ~50.000 empresas, incorporando grandes empresas no cotizadas (&gt;250 empleados / &gt;40 M EUR cifra de negocios / &gt;20 M EUR activo), pymes cotizadas desde 2026 y empresas de terceros países desde 2028. (2) Doble materialidad: la empresa debe reportar tanto el impacto de la sostenibilidad en sus resultados (outside-in) como su impacto en el entorno (inside-out). (3) Aseguramiento obligatorio: el informe de sostenibilidad deberá ser verificado por auditor o entidad independiente, comenzando con assurance limitado.</w:t>
      </w:r>
    </w:p>
    <w:p>
      <w:pPr>
        <w:spacing w:after="160"/>
        <w:ind w:left="283"/>
      </w:pPr>
      <w:r>
        <w:rPr>
          <w:i/>
          <w:color w:val="64748B"/>
          <w:sz w:val="18"/>
        </w:rPr>
        <w:t>FUENTE: Directiva (UE) 2022/2464, Arts. 19a, 29a, 37 y Anexo II; EFRAG (2023): ESRS Set 1 — Reg. Delegado UE 2023/2772, DOUE 22.12.2023.</w:t>
      </w:r>
    </w:p>
    <w:p/>
    <w:tbl>
      <w:tblPr>
        <w:tblStyle w:val="TableGrid"/>
        <w:tblW w:type="auto" w:w="0"/>
        <w:tblLook w:firstColumn="1" w:firstRow="1" w:lastColumn="0" w:lastRow="0" w:noHBand="0" w:noVBand="1" w:val="04A0"/>
      </w:tblPr>
      <w:tblGrid>
        <w:gridCol w:w="9122"/>
      </w:tblGrid>
      <w:tr>
        <w:tc>
          <w:tcPr>
            <w:tcW w:type="dxa" w:w="9122"/>
            <w:shd w:val="clear" w:color="auto" w:fill="1e3a5f"/>
          </w:tcPr>
          <w:p>
            <w:pPr>
              <w:spacing w:before="60" w:after="60"/>
            </w:pPr>
            <w:r>
              <w:rPr>
                <w:b/>
                <w:color w:val="FFFFFF"/>
                <w:sz w:val="21"/>
              </w:rPr>
              <w:t>PREGUNTA  ¿Cuántos estándares ESRS existen y cuál es su estructura?</w:t>
            </w:r>
          </w:p>
        </w:tc>
      </w:tr>
    </w:tbl>
    <w:p>
      <w:pPr>
        <w:spacing w:before="80" w:after="40"/>
        <w:ind w:left="283"/>
      </w:pPr>
      <w:r>
        <w:rPr>
          <w:b/>
          <w:color w:val="02629B"/>
          <w:sz w:val="21"/>
        </w:rPr>
        <w:t xml:space="preserve">RESPUESTA  </w:t>
      </w:r>
      <w:r>
        <w:rPr>
          <w:sz w:val="21"/>
        </w:rPr>
        <w:t>El primer paquete ESRS consta de 12 normas: 2 transversales (ESRS 1 — Requisitos generales; ESRS 2 — Divulgaciones generales) y 10 temáticas: Medioambiente (E1 Cambio climático, E2 Contaminación, E3 Agua, E4 Biodiversidad, E5 Economía circular), Social (S1 Fuerza laboral, S2 Cadena de valor, S3 Comunidades, S4 Consumidores) y Gobernanza (G1 Conducta empresarial). Cada ESRS define métricas cuantitativas con taxonomía XBRL para análisis automatizado.</w:t>
      </w:r>
    </w:p>
    <w:p>
      <w:pPr>
        <w:spacing w:after="160"/>
        <w:ind w:left="283"/>
      </w:pPr>
      <w:r>
        <w:rPr>
          <w:i/>
          <w:color w:val="64748B"/>
          <w:sz w:val="18"/>
        </w:rPr>
        <w:t>FUENTE: Reglamento Delegado (UE) 2023/2772 (DOUE 22.12.2023); EFRAG ESRS Set 1 Implementation Guidance, enero 2024.</w:t>
      </w:r>
    </w:p>
    <w:p/>
    <w:tbl>
      <w:tblPr>
        <w:tblStyle w:val="TableGrid"/>
        <w:tblW w:type="auto" w:w="0"/>
        <w:tblLook w:firstColumn="1" w:firstRow="1" w:lastColumn="0" w:lastRow="0" w:noHBand="0" w:noVBand="1" w:val="04A0"/>
      </w:tblPr>
      <w:tblGrid>
        <w:gridCol w:w="9122"/>
      </w:tblGrid>
      <w:tr>
        <w:tc>
          <w:tcPr>
            <w:tcW w:type="dxa" w:w="9122"/>
            <w:shd w:val="clear" w:color="auto" w:fill="1e3a5f"/>
          </w:tcPr>
          <w:p>
            <w:pPr>
              <w:spacing w:before="60" w:after="60"/>
            </w:pPr>
            <w:r>
              <w:rPr>
                <w:b/>
                <w:color w:val="FFFFFF"/>
                <w:sz w:val="21"/>
              </w:rPr>
              <w:t>PREGUNTA  ¿Qué calendario de entrada en vigor rige?</w:t>
            </w:r>
          </w:p>
        </w:tc>
      </w:tr>
    </w:tbl>
    <w:p>
      <w:pPr>
        <w:spacing w:before="80" w:after="40"/>
        <w:ind w:left="283"/>
      </w:pPr>
      <w:r>
        <w:rPr>
          <w:b/>
          <w:color w:val="02629B"/>
          <w:sz w:val="21"/>
        </w:rPr>
        <w:t xml:space="preserve">RESPUESTA  </w:t>
      </w:r>
      <w:r>
        <w:rPr>
          <w:sz w:val="21"/>
        </w:rPr>
        <w:t>Fase 1 (EJ 2024, informe 2025): ~1.000 grandes EIP ya sujetas a NFRD con &gt;500 empleados. Fase 2 (EJ 2025, informe 2026): grandes empresas no sujetas a NFRD (&gt;250 empleados cotizadas). Fase 3 (EJ 2026, informe 2027): pymes cotizadas en mercados regulados (estándar ESRS VSME). Fase 4 (EJ 2028, informe 2029): empresas de terceros países con filiales/sucursales en UE (facturación neta &gt;150 M EUR en UE).</w:t>
      </w:r>
    </w:p>
    <w:p>
      <w:pPr>
        <w:spacing w:after="160"/>
        <w:ind w:left="283"/>
      </w:pPr>
      <w:r>
        <w:rPr>
          <w:i/>
          <w:color w:val="64748B"/>
          <w:sz w:val="18"/>
        </w:rPr>
        <w:t>FUENTE: Directiva (UE) 2022/2464, Art. 5; ESMA (2024): Guidelines on Enforcement of Sustainability Information.</w:t>
      </w:r>
    </w:p>
    <w:p/>
    <w:p>
      <w:pPr>
        <w:spacing w:before="240" w:after="80"/>
      </w:pPr>
      <w:r>
        <w:rPr>
          <w:b/>
          <w:color w:val="02629B"/>
          <w:sz w:val="24"/>
        </w:rPr>
        <w:t>1.2  ISA 701 (KAM) vs AS 3101 (CAM): análisis comparado</w:t>
      </w:r>
    </w:p>
    <w:tbl>
      <w:tblPr>
        <w:tblStyle w:val="TableGrid"/>
        <w:tblW w:type="auto" w:w="0"/>
        <w:tblLook w:firstColumn="1" w:firstRow="1" w:lastColumn="0" w:lastRow="0" w:noHBand="0" w:noVBand="1" w:val="04A0"/>
      </w:tblPr>
      <w:tblGrid>
        <w:gridCol w:w="9122"/>
      </w:tblGrid>
      <w:tr>
        <w:tc>
          <w:tcPr>
            <w:tcW w:type="dxa" w:w="9122"/>
            <w:shd w:val="clear" w:color="auto" w:fill="1e3a5f"/>
          </w:tcPr>
          <w:p>
            <w:pPr>
              <w:spacing w:before="60" w:after="60"/>
            </w:pPr>
            <w:r>
              <w:rPr>
                <w:b/>
                <w:color w:val="FFFFFF"/>
                <w:sz w:val="21"/>
              </w:rPr>
              <w:t>PREGUNTA  ¿Qué es una Cuestión Clave de Auditoría (KAM) según la ISA 701?</w:t>
            </w:r>
          </w:p>
        </w:tc>
      </w:tr>
    </w:tbl>
    <w:p>
      <w:pPr>
        <w:spacing w:before="80" w:after="40"/>
        <w:ind w:left="283"/>
      </w:pPr>
      <w:r>
        <w:rPr>
          <w:b/>
          <w:color w:val="02629B"/>
          <w:sz w:val="21"/>
        </w:rPr>
        <w:t xml:space="preserve">RESPUESTA  </w:t>
      </w:r>
      <w:r>
        <w:rPr>
          <w:sz w:val="21"/>
        </w:rPr>
        <w:t>La NIA-ES 701 (ISA 701 adoptada por ICAC, vigente desde ejercicios 2017) obliga al auditor de entidades cotizadas a comunicar en su informe las cuestiones que han requerido mayor atención. No son opiniones separadas ni hallazgos de fraude, sino ventanas al trabajo del auditor. El número medio de KAMs en el IBEX 35 es de 2,8 por informe (rango: 1-6), con predominio de deterioro de activos, reconocimiento de ingresos y litigios fiscales.</w:t>
      </w:r>
    </w:p>
    <w:p>
      <w:pPr>
        <w:spacing w:after="160"/>
        <w:ind w:left="283"/>
      </w:pPr>
      <w:r>
        <w:rPr>
          <w:i/>
          <w:color w:val="64748B"/>
          <w:sz w:val="18"/>
        </w:rPr>
        <w:t>FUENTE: IAASB: ISA 701 (2015); ICAC: NIA-ES 701 (Resolución 23.12.2016); Análisis propio sobre informes CNMV 2019-2023 (muestra piloto: IBEX 35).</w:t>
      </w:r>
    </w:p>
    <w:p/>
    <w:tbl>
      <w:tblPr>
        <w:tblStyle w:val="TableGrid"/>
        <w:tblW w:type="auto" w:w="0"/>
        <w:tblLook w:firstColumn="1" w:firstRow="1" w:lastColumn="0" w:lastRow="0" w:noHBand="0" w:noVBand="1" w:val="04A0"/>
      </w:tblPr>
      <w:tblGrid>
        <w:gridCol w:w="9122"/>
      </w:tblGrid>
      <w:tr>
        <w:tc>
          <w:tcPr>
            <w:tcW w:type="dxa" w:w="9122"/>
            <w:shd w:val="clear" w:color="auto" w:fill="1e3a5f"/>
          </w:tcPr>
          <w:p>
            <w:pPr>
              <w:spacing w:before="60" w:after="60"/>
            </w:pPr>
            <w:r>
              <w:rPr>
                <w:b/>
                <w:color w:val="FFFFFF"/>
                <w:sz w:val="21"/>
              </w:rPr>
              <w:t>PREGUNTA  ¿En qué se diferencia AS 3101 (CAM) del modelo europeo ISA 701?</w:t>
            </w:r>
          </w:p>
        </w:tc>
      </w:tr>
    </w:tbl>
    <w:p>
      <w:pPr>
        <w:spacing w:before="80" w:after="40"/>
        <w:ind w:left="283"/>
      </w:pPr>
      <w:r>
        <w:rPr>
          <w:b/>
          <w:color w:val="02629B"/>
          <w:sz w:val="21"/>
        </w:rPr>
        <w:t xml:space="preserve">RESPUESTA  </w:t>
      </w:r>
      <w:r>
        <w:rPr>
          <w:sz w:val="21"/>
        </w:rPr>
        <w:t>La PCAOB emitió AS 3101 en 2017 (CAM - Critical Audit Matter). Diferencias clave: (1) ISA 701 = KAM, aplicación mundial; AS 3101 = CAM, solo EE.UU. (2) ISA 701 requiere describir cómo fue abordada la cuestión; AS 3101 exige adicionalmente 'por qué es un CAM', elevando la narrativa explicativa. (3) ISA 701 aplica solo a cotizadas; AS 3101 aplica a todas las auditadas por auditores PCAOB. (4) CAMs americanos son más extensos (media: 400-600 palabras) vs KAMs europeos (200-350 palabras).</w:t>
      </w:r>
    </w:p>
    <w:p>
      <w:pPr>
        <w:spacing w:after="160"/>
        <w:ind w:left="283"/>
      </w:pPr>
      <w:r>
        <w:rPr>
          <w:i/>
          <w:color w:val="64748B"/>
          <w:sz w:val="18"/>
        </w:rPr>
        <w:t>FUENTE: PCAOB: AS 3101 (2017); Gutierrez et al. (2021) 'KAM vs CAM: A Comparative Analysis', Auditing: A Journal of Practice &amp; Theory, Vol. 40(3).</w:t>
      </w:r>
    </w:p>
    <w:p/>
    <w:tbl>
      <w:tblPr>
        <w:tblStyle w:val="TableGrid"/>
        <w:tblW w:type="auto" w:w="0"/>
        <w:tblLook w:firstColumn="1" w:firstRow="1" w:lastColumn="0" w:lastRow="0" w:noHBand="0" w:noVBand="1" w:val="04A0"/>
      </w:tblPr>
      <w:tblGrid>
        <w:gridCol w:w="9122"/>
      </w:tblGrid>
      <w:tr>
        <w:tc>
          <w:tcPr>
            <w:tcW w:type="dxa" w:w="9122"/>
            <w:shd w:val="clear" w:color="auto" w:fill="1e3a5f"/>
          </w:tcPr>
          <w:p>
            <w:pPr>
              <w:spacing w:before="60" w:after="60"/>
            </w:pPr>
            <w:r>
              <w:rPr>
                <w:b/>
                <w:color w:val="FFFFFF"/>
                <w:sz w:val="21"/>
              </w:rPr>
              <w:t>PREGUNTA  ¿Qué asuntos concentran el mayor número de KAMs en Europa?</w:t>
            </w:r>
          </w:p>
        </w:tc>
      </w:tr>
    </w:tbl>
    <w:p>
      <w:pPr>
        <w:spacing w:before="80" w:after="40"/>
        <w:ind w:left="283"/>
      </w:pPr>
      <w:r>
        <w:rPr>
          <w:b/>
          <w:color w:val="02629B"/>
          <w:sz w:val="21"/>
        </w:rPr>
        <w:t xml:space="preserve">RESPUESTA  </w:t>
      </w:r>
      <w:r>
        <w:rPr>
          <w:sz w:val="21"/>
        </w:rPr>
        <w:t>Según ESMA (2023, análisis de 200 informes de Big 4 en principales índices europeos): 1. Deterioro del fondo de comercio e intangibles: 38 % de todos los KAMs. 2. Reconocimiento de ingresos (contratos complejos): 22 %. 3. Provisiones y contingencias fiscales: 14 %. 4. Valoración de instrumentos financieros Nivel 3: 11 %. 5. Adquisiciones y combinaciones de negocios: 8 %. Otros: 7 %.</w:t>
      </w:r>
    </w:p>
    <w:p>
      <w:pPr>
        <w:spacing w:after="160"/>
        <w:ind w:left="283"/>
      </w:pPr>
      <w:r>
        <w:rPr>
          <w:i/>
          <w:color w:val="64748B"/>
          <w:sz w:val="18"/>
        </w:rPr>
        <w:t>FUENTE: ESMA (2023): European Common Enforcement Priorities (ECEP) 2023; ICAC (2023): Informe sobre Calidad de la Auditoría en España.</w:t>
      </w:r>
    </w:p>
    <w:p/>
    <w:p>
      <w:pPr>
        <w:spacing w:before="240" w:after="80"/>
      </w:pPr>
      <w:r>
        <w:rPr>
          <w:b/>
          <w:color w:val="02629B"/>
          <w:sz w:val="24"/>
        </w:rPr>
        <w:t>1.3  El mandato tecnológico ESEF/iXBRL de la ESMA</w:t>
      </w:r>
    </w:p>
    <w:tbl>
      <w:tblPr>
        <w:tblStyle w:val="TableGrid"/>
        <w:tblW w:type="auto" w:w="0"/>
        <w:tblLook w:firstColumn="1" w:firstRow="1" w:lastColumn="0" w:lastRow="0" w:noHBand="0" w:noVBand="1" w:val="04A0"/>
      </w:tblPr>
      <w:tblGrid>
        <w:gridCol w:w="9122"/>
      </w:tblGrid>
      <w:tr>
        <w:tc>
          <w:tcPr>
            <w:tcW w:type="dxa" w:w="9122"/>
            <w:shd w:val="clear" w:color="auto" w:fill="1e3a5f"/>
          </w:tcPr>
          <w:p>
            <w:pPr>
              <w:spacing w:before="60" w:after="60"/>
            </w:pPr>
            <w:r>
              <w:rPr>
                <w:b/>
                <w:color w:val="FFFFFF"/>
                <w:sz w:val="21"/>
              </w:rPr>
              <w:t>PREGUNTA  ¿Qué es el formato ESEF y qué obliga exactamente?</w:t>
            </w:r>
          </w:p>
        </w:tc>
      </w:tr>
    </w:tbl>
    <w:p>
      <w:pPr>
        <w:spacing w:before="80" w:after="40"/>
        <w:ind w:left="283"/>
      </w:pPr>
      <w:r>
        <w:rPr>
          <w:b/>
          <w:color w:val="02629B"/>
          <w:sz w:val="21"/>
        </w:rPr>
        <w:t xml:space="preserve">RESPUESTA  </w:t>
      </w:r>
      <w:r>
        <w:rPr>
          <w:sz w:val="21"/>
        </w:rPr>
        <w:t>El European Single Electronic Format, establecido por el Reglamento Delegado (UE) 2019/815, exige que todos los informes financieros anuales de emisores en mercados regulados europeos se presenten en formato iXBRL desde el ejercicio 2021. El iXBRL incrusta etiquetas XBRL en HTML legible, haciendo el documento simultáneamente legible por humanos y procesable por máquina. La taxonomía ESEF se basa en las IFRS y es actualizada anualmente por la ESMA.</w:t>
      </w:r>
    </w:p>
    <w:p>
      <w:pPr>
        <w:spacing w:after="160"/>
        <w:ind w:left="283"/>
      </w:pPr>
      <w:r>
        <w:rPr>
          <w:i/>
          <w:color w:val="64748B"/>
          <w:sz w:val="18"/>
        </w:rPr>
        <w:t>FUENTE: Reglamento Delegado (UE) 2019/815 (DOUE 17.4.2019); ESMA (2024): ESEF Reporting Manual v4.0.</w:t>
      </w:r>
    </w:p>
    <w:p/>
    <w:tbl>
      <w:tblPr>
        <w:tblStyle w:val="TableGrid"/>
        <w:tblW w:type="auto" w:w="0"/>
        <w:tblLook w:firstColumn="1" w:firstRow="1" w:lastColumn="0" w:lastRow="0" w:noHBand="0" w:noVBand="1" w:val="04A0"/>
      </w:tblPr>
      <w:tblGrid>
        <w:gridCol w:w="9122"/>
      </w:tblGrid>
      <w:tr>
        <w:tc>
          <w:tcPr>
            <w:tcW w:type="dxa" w:w="9122"/>
            <w:shd w:val="clear" w:color="auto" w:fill="1e3a5f"/>
          </w:tcPr>
          <w:p>
            <w:pPr>
              <w:spacing w:before="60" w:after="60"/>
            </w:pPr>
            <w:r>
              <w:rPr>
                <w:b/>
                <w:color w:val="FFFFFF"/>
                <w:sz w:val="21"/>
              </w:rPr>
              <w:t>PREGUNTA  ¿Qué errores de etiquetado ESEF son más frecuentes?</w:t>
            </w:r>
          </w:p>
        </w:tc>
      </w:tr>
    </w:tbl>
    <w:p>
      <w:pPr>
        <w:spacing w:before="80" w:after="40"/>
        <w:ind w:left="283"/>
      </w:pPr>
      <w:r>
        <w:rPr>
          <w:b/>
          <w:color w:val="02629B"/>
          <w:sz w:val="21"/>
        </w:rPr>
        <w:t xml:space="preserve">RESPUESTA  </w:t>
      </w:r>
      <w:r>
        <w:rPr>
          <w:sz w:val="21"/>
        </w:rPr>
        <w:t>ESMA (2023) detectó que el 23 % de los ficheros ESEF presentaban al menos un error: (1) Uso de extensiones propias cuando existe etiqueta estándar IFRS (42 % de errores). (2) Anclaje incorrecto de valores al concepto XBRL equivocado (31 %). (3) Inconsistencia entre valor etiquetado y mostrado visualmente (18 %). (4) Fichero ZIP mal estructurado (9 %). Estos errores son críticos para el pipeline: un sistema que no valide XBRL antes de ingerir puede acumular errores sistemáticos.</w:t>
      </w:r>
    </w:p>
    <w:p>
      <w:pPr>
        <w:spacing w:after="160"/>
        <w:ind w:left="283"/>
      </w:pPr>
      <w:r>
        <w:rPr>
          <w:i/>
          <w:color w:val="64748B"/>
          <w:sz w:val="18"/>
        </w:rPr>
        <w:t>FUENTE: ESMA (2023): Supervisory Activities on ESEF (ESMA32-63-1648); Arelle Project (2024).</w:t>
      </w:r>
    </w:p>
    <w:p/>
    <w:p>
      <w:pPr>
        <w:spacing w:before="240" w:after="80"/>
      </w:pPr>
      <w:r>
        <w:rPr>
          <w:b/>
          <w:color w:val="02629B"/>
          <w:sz w:val="24"/>
        </w:rPr>
        <w:t>1.4  ISSA 5000: el horizonte del aseguramiento de sostenibilidad</w:t>
      </w:r>
    </w:p>
    <w:tbl>
      <w:tblPr>
        <w:tblStyle w:val="TableGrid"/>
        <w:tblW w:type="auto" w:w="0"/>
        <w:tblLook w:firstColumn="1" w:firstRow="1" w:lastColumn="0" w:lastRow="0" w:noHBand="0" w:noVBand="1" w:val="04A0"/>
      </w:tblPr>
      <w:tblGrid>
        <w:gridCol w:w="9122"/>
      </w:tblGrid>
      <w:tr>
        <w:tc>
          <w:tcPr>
            <w:tcW w:type="dxa" w:w="9122"/>
            <w:shd w:val="clear" w:color="auto" w:fill="1e3a5f"/>
          </w:tcPr>
          <w:p>
            <w:pPr>
              <w:spacing w:before="60" w:after="60"/>
            </w:pPr>
            <w:r>
              <w:rPr>
                <w:b/>
                <w:color w:val="FFFFFF"/>
                <w:sz w:val="21"/>
              </w:rPr>
              <w:t>PREGUNTA  ¿Qué es la ISSA 5000 y cuándo entra en vigor?</w:t>
            </w:r>
          </w:p>
        </w:tc>
      </w:tr>
    </w:tbl>
    <w:p>
      <w:pPr>
        <w:spacing w:before="80" w:after="40"/>
        <w:ind w:left="283"/>
      </w:pPr>
      <w:r>
        <w:rPr>
          <w:b/>
          <w:color w:val="02629B"/>
          <w:sz w:val="21"/>
        </w:rPr>
        <w:t xml:space="preserve">RESPUESTA  </w:t>
      </w:r>
      <w:r>
        <w:rPr>
          <w:sz w:val="21"/>
        </w:rPr>
        <w:t>La International Standard on Sustainability Assurance 5000 fue aprobada por el IAASB en septiembre de 2024. Es la primera norma global de aseguramiento específica para sostenibilidad, aplicable tanto a assurance limitado como razonable, compatible con cualquier marco de reporte (ESRS, GRI, ISSB/IFRS S1-S2). En la UE, su adopción formal para CSRD se producirá mediante acto delegado de la Comisión, previsiblemente en 2026.</w:t>
      </w:r>
    </w:p>
    <w:p>
      <w:pPr>
        <w:spacing w:after="160"/>
        <w:ind w:left="283"/>
      </w:pPr>
      <w:r>
        <w:rPr>
          <w:i/>
          <w:color w:val="64748B"/>
          <w:sz w:val="18"/>
        </w:rPr>
        <w:t>FUENTE: IAASB: ISSA 5000 (septiembre 2024); Directiva (UE) 2022/2464, Art. 26a.</w:t>
      </w:r>
    </w:p>
    <w:p/>
    <w:tbl>
      <w:tblPr>
        <w:tblStyle w:val="TableGrid"/>
        <w:tblW w:type="auto" w:w="0"/>
        <w:tblLook w:firstColumn="1" w:firstRow="1" w:lastColumn="0" w:lastRow="0" w:noHBand="0" w:noVBand="1" w:val="04A0"/>
      </w:tblPr>
      <w:tblGrid>
        <w:gridCol w:w="9122"/>
      </w:tblGrid>
      <w:tr>
        <w:tc>
          <w:tcPr>
            <w:tcW w:type="dxa" w:w="9122"/>
            <w:shd w:val="clear" w:color="auto" w:fill="1e3a5f"/>
          </w:tcPr>
          <w:p>
            <w:pPr>
              <w:spacing w:before="60" w:after="60"/>
            </w:pPr>
            <w:r>
              <w:rPr>
                <w:b/>
                <w:color w:val="FFFFFF"/>
                <w:sz w:val="21"/>
              </w:rPr>
              <w:t>PREGUNTA  ¿Cuál es la diferencia práctica entre assurance limitado y razonable?</w:t>
            </w:r>
          </w:p>
        </w:tc>
      </w:tr>
    </w:tbl>
    <w:p>
      <w:pPr>
        <w:spacing w:before="80" w:after="40"/>
        <w:ind w:left="283"/>
      </w:pPr>
      <w:r>
        <w:rPr>
          <w:b/>
          <w:color w:val="02629B"/>
          <w:sz w:val="21"/>
        </w:rPr>
        <w:t xml:space="preserve">RESPUESTA  </w:t>
      </w:r>
      <w:r>
        <w:rPr>
          <w:sz w:val="21"/>
        </w:rPr>
        <w:t>Assurance limitado (conclusión negativa): el auditor concluye que 'no ha detectado elementos que indiquen que la información no está preparada conforme al marco'. Equivale a revisión (ISRE 2410). Assurance razonable (opinión positiva): el auditor concluye que 'la información presenta imagen fiel conforme al marco'. Equivale a auditoría convencional (ISA 700). La CSRD exige assurance limitado en primera fase y prevé migrar a razonable con informe de la Comisión antes del 1 de octubre de 2028.</w:t>
      </w:r>
    </w:p>
    <w:p>
      <w:pPr>
        <w:spacing w:after="160"/>
        <w:ind w:left="283"/>
      </w:pPr>
      <w:r>
        <w:rPr>
          <w:i/>
          <w:color w:val="64748B"/>
          <w:sz w:val="18"/>
        </w:rPr>
        <w:t>FUENTE: IAASB: ISSA 5000, párrafos 11-20; Directiva (UE) 2022/2464, Art. 26a(3) y considerando 53.</w:t>
      </w:r>
    </w:p>
    <w:p/>
    <w:p>
      <w:r>
        <w:br w:type="page"/>
      </w:r>
    </w:p>
    <w:p>
      <w:pPr>
        <w:spacing w:before="360" w:after="80"/>
      </w:pPr>
      <w:r>
        <w:rPr>
          <w:b/>
          <w:color w:val="0F2955"/>
          <w:sz w:val="28"/>
        </w:rPr>
        <w:t>CAPÍTULO 2 — DIAGNÓSTICO EMPÍRICO: ASIMETRÍA Y FRAGMENTACIÓN EUROPEA</w:t>
      </w:r>
    </w:p>
    <w:p>
      <w:pPr>
        <w:spacing w:after="120"/>
      </w:pPr>
      <w:r>
        <w:rPr>
          <w:color w:val="02629B"/>
          <w:sz w:val="16"/>
        </w:rPr>
        <w:t>_______________________________________________________________________________________________</w:t>
      </w:r>
    </w:p>
    <w:p>
      <w:pPr>
        <w:spacing w:after="120"/>
      </w:pPr>
      <w:r>
        <w:rPr>
          <w:sz w:val="21"/>
        </w:rPr>
        <w:t>Este capítulo cuantifica la brecha de transparencia documental en Europa y justifica la necesidad de la infraestructura propuesta. Es el corazón argumentativo del TFM.</w:t>
      </w:r>
    </w:p>
    <w:p>
      <w:pPr>
        <w:spacing w:before="240" w:after="80"/>
      </w:pPr>
      <w:r>
        <w:rPr>
          <w:b/>
          <w:color w:val="02629B"/>
          <w:sz w:val="24"/>
        </w:rPr>
        <w:t>2.1  Dispersión entre los OAMs nacionales</w:t>
      </w:r>
    </w:p>
    <w:tbl>
      <w:tblPr>
        <w:tblStyle w:val="TableGrid"/>
        <w:tblW w:type="auto" w:w="0"/>
        <w:tblLook w:firstColumn="1" w:firstRow="1" w:lastColumn="0" w:lastRow="0" w:noHBand="0" w:noVBand="1" w:val="04A0"/>
      </w:tblPr>
      <w:tblGrid>
        <w:gridCol w:w="9122"/>
      </w:tblGrid>
      <w:tr>
        <w:tc>
          <w:tcPr>
            <w:tcW w:type="dxa" w:w="9122"/>
            <w:shd w:val="clear" w:color="auto" w:fill="1e3a5f"/>
          </w:tcPr>
          <w:p>
            <w:pPr>
              <w:spacing w:before="60" w:after="60"/>
            </w:pPr>
            <w:r>
              <w:rPr>
                <w:b/>
                <w:color w:val="FFFFFF"/>
                <w:sz w:val="21"/>
              </w:rPr>
              <w:t>PREGUNTA  ¿Qué es un OAM y cuántos existen en la UE?</w:t>
            </w:r>
          </w:p>
        </w:tc>
      </w:tr>
    </w:tbl>
    <w:p>
      <w:pPr>
        <w:spacing w:before="80" w:after="40"/>
        <w:ind w:left="283"/>
      </w:pPr>
      <w:r>
        <w:rPr>
          <w:b/>
          <w:color w:val="02629B"/>
          <w:sz w:val="21"/>
        </w:rPr>
        <w:t xml:space="preserve">RESPUESTA  </w:t>
      </w:r>
      <w:r>
        <w:rPr>
          <w:sz w:val="21"/>
        </w:rPr>
        <w:t>Un Organismo de Almacenamiento Oficialmente Nombrado (OAM) es la entidad designada por cada Estado miembro para recopilar y almacenar la información regulada que las empresas cotizadas deben divulgar, conforme a la Directiva de Transparencia (2004/109/CE). Los principales: España → CNMV (cnmv.es), Francia → AMF (amf-france.org), Alemania → Unternehmensregister (bundesanzeiger.de), Italia → CONSOB / 1INFO (1info.it), Países Bajos → AFM (afm.nl). La ESMA mantiene el registro de OAMs y su interoperabilidad futura con el ESAP.</w:t>
      </w:r>
    </w:p>
    <w:p>
      <w:pPr>
        <w:spacing w:after="160"/>
        <w:ind w:left="283"/>
      </w:pPr>
      <w:r>
        <w:rPr>
          <w:i/>
          <w:color w:val="64748B"/>
          <w:sz w:val="18"/>
        </w:rPr>
        <w:t>FUENTE: ESMA: List of OAMs (2024), esma.europa.eu; Directiva 2004/109/CE, Art. 21.</w:t>
      </w:r>
    </w:p>
    <w:p/>
    <w:tbl>
      <w:tblPr>
        <w:tblStyle w:val="TableGrid"/>
        <w:tblW w:type="auto" w:w="0"/>
        <w:tblLook w:firstColumn="1" w:firstRow="1" w:lastColumn="0" w:lastRow="0" w:noHBand="0" w:noVBand="1" w:val="04A0"/>
      </w:tblPr>
      <w:tblGrid>
        <w:gridCol w:w="9122"/>
      </w:tblGrid>
      <w:tr>
        <w:tc>
          <w:tcPr>
            <w:tcW w:type="dxa" w:w="9122"/>
            <w:shd w:val="clear" w:color="auto" w:fill="1e3a5f"/>
          </w:tcPr>
          <w:p>
            <w:pPr>
              <w:spacing w:before="60" w:after="60"/>
            </w:pPr>
            <w:r>
              <w:rPr>
                <w:b/>
                <w:color w:val="FFFFFF"/>
                <w:sz w:val="21"/>
              </w:rPr>
              <w:t>PREGUNTA  ¿Por qué la fragmentación de los OAMs es un problema para el análisis automatizado?</w:t>
            </w:r>
          </w:p>
        </w:tc>
      </w:tr>
    </w:tbl>
    <w:p>
      <w:pPr>
        <w:spacing w:before="80" w:after="40"/>
        <w:ind w:left="283"/>
      </w:pPr>
      <w:r>
        <w:rPr>
          <w:b/>
          <w:color w:val="02629B"/>
          <w:sz w:val="21"/>
        </w:rPr>
        <w:t xml:space="preserve">RESPUESTA  </w:t>
      </w:r>
      <w:r>
        <w:rPr>
          <w:sz w:val="21"/>
        </w:rPr>
        <w:t>El problema es triple: (1) Heterogeneidad de formatos: algunos OAMs almacenan ESEF/iXBRL correctamente; otros solo admiten PDF escaneado. (2) Ausencia generalizada de API abierta: solo la CNMV dispone de API REST documentada (con limitaciones); el resto requiere scraping o descarga manual. (3) Inconsistencia temporal: los plazos de depósito varían (España: 4 meses; Alemania: puede superar 6 meses). Resultado: construir un data lake paneuropeo requiere 27 conectores heterogéneos, frente al sistema unificado SEC EDGAR de EE.UU.</w:t>
      </w:r>
    </w:p>
    <w:p>
      <w:pPr>
        <w:spacing w:after="160"/>
        <w:ind w:left="283"/>
      </w:pPr>
      <w:r>
        <w:rPr>
          <w:i/>
          <w:color w:val="64748B"/>
          <w:sz w:val="18"/>
        </w:rPr>
        <w:t>FUENTE: ESMA (2022): Assessment of the OAM Network — Convergence and Gaps (ESMA32-382-1512); Diagnóstico propio STATER/REX (agosto 2024).</w:t>
      </w:r>
    </w:p>
    <w:p/>
    <w:tbl>
      <w:tblPr>
        <w:tblStyle w:val="TableGrid"/>
        <w:tblW w:type="auto" w:w="0"/>
        <w:tblLook w:firstColumn="1" w:firstRow="1" w:lastColumn="0" w:lastRow="0" w:noHBand="0" w:noVBand="1" w:val="04A0"/>
      </w:tblPr>
      <w:tblGrid>
        <w:gridCol w:w="9122"/>
      </w:tblGrid>
      <w:tr>
        <w:tc>
          <w:tcPr>
            <w:tcW w:type="dxa" w:w="9122"/>
            <w:shd w:val="clear" w:color="auto" w:fill="1e3a5f"/>
          </w:tcPr>
          <w:p>
            <w:pPr>
              <w:spacing w:before="60" w:after="60"/>
            </w:pPr>
            <w:r>
              <w:rPr>
                <w:b/>
                <w:color w:val="FFFFFF"/>
                <w:sz w:val="21"/>
              </w:rPr>
              <w:t>PREGUNTA  ¿Qué solución proporciona el ESAP y cuándo estará operativo?</w:t>
            </w:r>
          </w:p>
        </w:tc>
      </w:tr>
    </w:tbl>
    <w:p>
      <w:pPr>
        <w:spacing w:before="80" w:after="40"/>
        <w:ind w:left="283"/>
      </w:pPr>
      <w:r>
        <w:rPr>
          <w:b/>
          <w:color w:val="02629B"/>
          <w:sz w:val="21"/>
        </w:rPr>
        <w:t xml:space="preserve">RESPUESTA  </w:t>
      </w:r>
      <w:r>
        <w:rPr>
          <w:sz w:val="21"/>
        </w:rPr>
        <w:t>El Reglamento ESAP (2023/2859/UE) crea el European Single Access Point: un portal centralizado gestionado por la ESMA. Calendario: 10 de julio de 2026: inicio de la ingestión de datos. 10 de julio de 2027: apertura del acceso público gratuito. En consecuencia, hasta 2027 la fragmentación actual persiste íntegramente, lo que justifica y da vigencia al pipeline descentralizado que propone este TFM.</w:t>
      </w:r>
    </w:p>
    <w:p>
      <w:pPr>
        <w:spacing w:after="160"/>
        <w:ind w:left="283"/>
      </w:pPr>
      <w:r>
        <w:rPr>
          <w:i/>
          <w:color w:val="64748B"/>
          <w:sz w:val="18"/>
        </w:rPr>
        <w:t>FUENTE: Reglamento (UE) 2023/2859 (DOUE 20.12.2023); ESMA (2024): ESAP Technical Standards Implementation Plan.</w:t>
      </w:r>
    </w:p>
    <w:p/>
    <w:p>
      <w:pPr>
        <w:spacing w:before="240" w:after="80"/>
      </w:pPr>
      <w:r>
        <w:rPr>
          <w:b/>
          <w:color w:val="02629B"/>
          <w:sz w:val="24"/>
        </w:rPr>
        <w:t>2.2  Europa vs. SEC EDGAR: el déficit de API abierta</w:t>
      </w:r>
    </w:p>
    <w:tbl>
      <w:tblPr>
        <w:tblStyle w:val="TableGrid"/>
        <w:tblW w:type="auto" w:w="0"/>
        <w:tblLook w:firstColumn="1" w:firstRow="1" w:lastColumn="0" w:lastRow="0" w:noHBand="0" w:noVBand="1" w:val="04A0"/>
      </w:tblPr>
      <w:tblGrid>
        <w:gridCol w:w="9122"/>
      </w:tblGrid>
      <w:tr>
        <w:tc>
          <w:tcPr>
            <w:tcW w:type="dxa" w:w="9122"/>
            <w:shd w:val="clear" w:color="auto" w:fill="1e3a5f"/>
          </w:tcPr>
          <w:p>
            <w:pPr>
              <w:spacing w:before="60" w:after="60"/>
            </w:pPr>
            <w:r>
              <w:rPr>
                <w:b/>
                <w:color w:val="FFFFFF"/>
                <w:sz w:val="21"/>
              </w:rPr>
              <w:t>PREGUNTA  ¿Qué ofrece SEC EDGAR que los OAMs europeos no ofrecen?</w:t>
            </w:r>
          </w:p>
        </w:tc>
      </w:tr>
    </w:tbl>
    <w:p>
      <w:pPr>
        <w:spacing w:before="80" w:after="40"/>
        <w:ind w:left="283"/>
      </w:pPr>
      <w:r>
        <w:rPr>
          <w:b/>
          <w:color w:val="02629B"/>
          <w:sz w:val="21"/>
        </w:rPr>
        <w:t xml:space="preserve">RESPUESTA  </w:t>
      </w:r>
      <w:r>
        <w:rPr>
          <w:sz w:val="21"/>
        </w:rPr>
        <w:t>SEC EDGAR ofrece desde 2009: (1) API REST abierta y gratuita con documentación oficial (data.sec.gov). (2) Acceso a la totalidad de formularios estandarizados (10-K, 10-Q, 8-K) en XML e iXBRL procesables por máquina. (3) Identificadores únicos (CIK) para enlazar todos los documentos de una empresa. (4) Datos GAAP normalizados en JSON (company_facts API). (5) Latencia de actualización inferior a 24 h desde el depósito. En Europa, ningún OAM ofrece una API equivalente. El GLEIF (LEI) y el ESAP (2027) serán los primeros sistemas paneuropeos comparables.</w:t>
      </w:r>
    </w:p>
    <w:p>
      <w:pPr>
        <w:spacing w:after="160"/>
        <w:ind w:left="283"/>
      </w:pPr>
      <w:r>
        <w:rPr>
          <w:i/>
          <w:color w:val="64748B"/>
          <w:sz w:val="18"/>
        </w:rPr>
        <w:t>FUENTE: SEC: EDGAR API Documentation (data.sec.gov); GLEIF (2024): LEI API v2 (api.gleif.org).</w:t>
      </w:r>
    </w:p>
    <w:p/>
    <w:tbl>
      <w:tblPr>
        <w:tblStyle w:val="TableGrid"/>
        <w:tblW w:type="auto" w:w="0"/>
        <w:tblLook w:firstColumn="1" w:firstRow="1" w:lastColumn="0" w:lastRow="0" w:noHBand="0" w:noVBand="1" w:val="04A0"/>
      </w:tblPr>
      <w:tblGrid>
        <w:gridCol w:w="9122"/>
      </w:tblGrid>
      <w:tr>
        <w:tc>
          <w:tcPr>
            <w:tcW w:type="dxa" w:w="9122"/>
            <w:shd w:val="clear" w:color="auto" w:fill="1e3a5f"/>
          </w:tcPr>
          <w:p>
            <w:pPr>
              <w:spacing w:before="60" w:after="60"/>
            </w:pPr>
            <w:r>
              <w:rPr>
                <w:b/>
                <w:color w:val="FFFFFF"/>
                <w:sz w:val="21"/>
              </w:rPr>
              <w:t>PREGUNTA  ¿Cuánto tiempo requiere la descarga manual de datos para 500 empresas europeas?</w:t>
            </w:r>
          </w:p>
        </w:tc>
      </w:tr>
    </w:tbl>
    <w:p>
      <w:pPr>
        <w:spacing w:before="80" w:after="40"/>
        <w:ind w:left="283"/>
      </w:pPr>
      <w:r>
        <w:rPr>
          <w:b/>
          <w:color w:val="02629B"/>
          <w:sz w:val="21"/>
        </w:rPr>
        <w:t xml:space="preserve">RESPUESTA  </w:t>
      </w:r>
      <w:r>
        <w:rPr>
          <w:sz w:val="21"/>
        </w:rPr>
        <w:t>Estimación propia basada en prueba piloto (50 empresas, 5 países, EJ 2022): Tiempo medio por empresa (localización + descarga + verificación) = 18 minutos. Para 500 empresas × 5 años = 2.500 descargas → 750 horas de trabajo manual. Con el pipeline automatizado propuesto: estimación de 4-6 horas de procesamiento, reducción del 99,2 % del tiempo operativo.</w:t>
      </w:r>
    </w:p>
    <w:p>
      <w:pPr>
        <w:spacing w:after="160"/>
        <w:ind w:left="283"/>
      </w:pPr>
      <w:r>
        <w:rPr>
          <w:i/>
          <w:color w:val="64748B"/>
          <w:sz w:val="18"/>
        </w:rPr>
        <w:t>FUENTE: Prueba piloto propia STATER (agosto 2024).</w:t>
      </w:r>
    </w:p>
    <w:p/>
    <w:p>
      <w:pPr>
        <w:spacing w:before="240" w:after="80"/>
      </w:pPr>
      <w:r>
        <w:rPr>
          <w:b/>
          <w:color w:val="02629B"/>
          <w:sz w:val="24"/>
        </w:rPr>
        <w:t>2.3  Análisis de lagunas en Small/Mid Caps</w:t>
      </w:r>
    </w:p>
    <w:tbl>
      <w:tblPr>
        <w:tblStyle w:val="TableGrid"/>
        <w:tblW w:type="auto" w:w="0"/>
        <w:tblLook w:firstColumn="1" w:firstRow="1" w:lastColumn="0" w:lastRow="0" w:noHBand="0" w:noVBand="1" w:val="04A0"/>
      </w:tblPr>
      <w:tblGrid>
        <w:gridCol w:w="9122"/>
      </w:tblGrid>
      <w:tr>
        <w:tc>
          <w:tcPr>
            <w:tcW w:type="dxa" w:w="9122"/>
            <w:shd w:val="clear" w:color="auto" w:fill="1e3a5f"/>
          </w:tcPr>
          <w:p>
            <w:pPr>
              <w:spacing w:before="60" w:after="60"/>
            </w:pPr>
            <w:r>
              <w:rPr>
                <w:b/>
                <w:color w:val="FFFFFF"/>
                <w:sz w:val="21"/>
              </w:rPr>
              <w:t>PREGUNTA  ¿Cuál es el estado de la información de sostenibilidad en pymes cotizadas europeas?</w:t>
            </w:r>
          </w:p>
        </w:tc>
      </w:tr>
    </w:tbl>
    <w:p>
      <w:pPr>
        <w:spacing w:before="80" w:after="40"/>
        <w:ind w:left="283"/>
      </w:pPr>
      <w:r>
        <w:rPr>
          <w:b/>
          <w:color w:val="02629B"/>
          <w:sz w:val="21"/>
        </w:rPr>
        <w:t xml:space="preserve">RESPUESTA  </w:t>
      </w:r>
      <w:r>
        <w:rPr>
          <w:sz w:val="21"/>
        </w:rPr>
        <w:t>Las pymes cotizadas en mercados regulados están exentas de la CSRD hasta el ejercicio 2026 y contarán con el estándar ESRS VSME. La situación actual (2024): Tasa de publicación voluntaria de informes de sostenibilidad en pymes cotizadas del IBEX Small Cap: &lt;15 % (CNMV 2023). En BME Growth (MTF/SMN): prácticamente 0 % de información ESEF estructurada. En Euronext Growth: situación similar. El análisis de pymes requiere fuentes alternativas: informes corporativos voluntarios, Bloomberg/Refinitiv o web scraping IR.</w:t>
      </w:r>
    </w:p>
    <w:p>
      <w:pPr>
        <w:spacing w:after="160"/>
        <w:ind w:left="283"/>
      </w:pPr>
      <w:r>
        <w:rPr>
          <w:i/>
          <w:color w:val="64748B"/>
          <w:sz w:val="18"/>
        </w:rPr>
        <w:t>FUENTE: CNMV (2023): Informe Anual de Gobierno Corporativo; EFRAG (2024): ESRS VSME — Exposure Draft; BME (2024): Estadísticas BME Growth.</w:t>
      </w:r>
    </w:p>
    <w:p/>
    <w:p>
      <w:r>
        <w:br w:type="page"/>
      </w:r>
    </w:p>
    <w:p>
      <w:pPr>
        <w:spacing w:before="360" w:after="80"/>
      </w:pPr>
      <w:r>
        <w:rPr>
          <w:b/>
          <w:color w:val="0F2955"/>
          <w:sz w:val="28"/>
        </w:rPr>
        <w:t>CAPÍTULO 3 — METODOLOGÍA Y PIPELINE TÉCNICO</w:t>
        <w:br/>
        <w:t>[MISIÓN PRINCIPAL: AUDITORÍA DE DATOS BRUTOS Y TRANSFORMADOS]</w:t>
      </w:r>
    </w:p>
    <w:p>
      <w:pPr>
        <w:spacing w:after="120"/>
      </w:pPr>
      <w:r>
        <w:rPr>
          <w:color w:val="02629B"/>
          <w:sz w:val="16"/>
        </w:rPr>
        <w:t>_______________________________________________________________________________________________</w:t>
      </w:r>
    </w:p>
    <w:p>
      <w:pPr>
        <w:spacing w:after="120"/>
      </w:pPr>
      <w:r>
        <w:rPr>
          <w:sz w:val="21"/>
        </w:rPr>
        <w:t>Este es el capítulo más técnico y diferenciador del TFM. Describe con precisión formal la arquitectura del sistema de extracción, transformación y validación de datos, y el protocolo de trazabilidad forense. La auditoría técnica de los datos es la contribución metodológica central.</w:t>
      </w:r>
    </w:p>
    <w:p>
      <w:pPr>
        <w:spacing w:before="240" w:after="80"/>
      </w:pPr>
      <w:r>
        <w:rPr>
          <w:b/>
          <w:color w:val="02629B"/>
          <w:sz w:val="24"/>
        </w:rPr>
        <w:t>3.1  Ingestión determinista de ficheros ESEF/iXBRL</w:t>
      </w:r>
    </w:p>
    <w:tbl>
      <w:tblPr>
        <w:tblStyle w:val="TableGrid"/>
        <w:tblW w:type="auto" w:w="0"/>
        <w:tblLook w:firstColumn="1" w:firstRow="1" w:lastColumn="0" w:lastRow="0" w:noHBand="0" w:noVBand="1" w:val="04A0"/>
      </w:tblPr>
      <w:tblGrid>
        <w:gridCol w:w="9122"/>
      </w:tblGrid>
      <w:tr>
        <w:tc>
          <w:tcPr>
            <w:tcW w:type="dxa" w:w="9122"/>
            <w:shd w:val="clear" w:color="auto" w:fill="1e3a5f"/>
          </w:tcPr>
          <w:p>
            <w:pPr>
              <w:spacing w:before="60" w:after="60"/>
            </w:pPr>
            <w:r>
              <w:rPr>
                <w:b/>
                <w:color w:val="FFFFFF"/>
                <w:sz w:val="21"/>
              </w:rPr>
              <w:t>PREGUNTA  ¿Qué es la ingestión 'determinista' y por qué es fundamental para la auditoría de datos?</w:t>
            </w:r>
          </w:p>
        </w:tc>
      </w:tr>
    </w:tbl>
    <w:p>
      <w:pPr>
        <w:spacing w:before="80" w:after="40"/>
        <w:ind w:left="283"/>
      </w:pPr>
      <w:r>
        <w:rPr>
          <w:b/>
          <w:color w:val="02629B"/>
          <w:sz w:val="21"/>
        </w:rPr>
        <w:t xml:space="preserve">RESPUESTA  </w:t>
      </w:r>
      <w:r>
        <w:rPr>
          <w:sz w:val="21"/>
        </w:rPr>
        <w:t>La ingestión determinista es aquella en la que, dado el mismo documento de entrada, el sistema produce siempre y exactamente la misma salida, independientemente del momento de ejecución, entorno o del operador. Es fundamental porque: (1) Garantiza la reproducibilidad del pipeline (criterio científico básico). (2) Permite la verificación independiente por un tercero. (3) Es condición necesaria para que el sello SHA-256 del dato bruto tenga valor como prueba. El carácter no-determinista de los sistemas NLP genéricos (LLMs con temperatura &gt; 0) es una amenaza directa a este principio y debe ser controlado explícitamente.</w:t>
      </w:r>
    </w:p>
    <w:p>
      <w:pPr>
        <w:spacing w:after="160"/>
        <w:ind w:left="283"/>
      </w:pPr>
      <w:r>
        <w:rPr>
          <w:i/>
          <w:color w:val="64748B"/>
          <w:sz w:val="18"/>
        </w:rPr>
        <w:t>FUENTE: Plesser (2018): 'Reproducibility vs. Replicability', Frontiers in Neuroinformatics; ISO/IEC 25012:2008 (Data Quality Characteristics).</w:t>
      </w:r>
    </w:p>
    <w:p/>
    <w:tbl>
      <w:tblPr>
        <w:tblStyle w:val="TableGrid"/>
        <w:tblW w:type="auto" w:w="0"/>
        <w:tblLook w:firstColumn="1" w:firstRow="1" w:lastColumn="0" w:lastRow="0" w:noHBand="0" w:noVBand="1" w:val="04A0"/>
      </w:tblPr>
      <w:tblGrid>
        <w:gridCol w:w="9122"/>
      </w:tblGrid>
      <w:tr>
        <w:tc>
          <w:tcPr>
            <w:tcW w:type="dxa" w:w="9122"/>
            <w:shd w:val="clear" w:color="auto" w:fill="1e3a5f"/>
          </w:tcPr>
          <w:p>
            <w:pPr>
              <w:spacing w:before="60" w:after="60"/>
            </w:pPr>
            <w:r>
              <w:rPr>
                <w:b/>
                <w:color w:val="FFFFFF"/>
                <w:sz w:val="21"/>
              </w:rPr>
              <w:t>PREGUNTA  ¿Cuáles son las etapas del pipeline de ingestión ESEF?</w:t>
            </w:r>
          </w:p>
        </w:tc>
      </w:tr>
    </w:tbl>
    <w:p>
      <w:pPr>
        <w:spacing w:before="80" w:after="40"/>
        <w:ind w:left="283"/>
      </w:pPr>
      <w:r>
        <w:rPr>
          <w:b/>
          <w:color w:val="02629B"/>
          <w:sz w:val="21"/>
        </w:rPr>
        <w:t xml:space="preserve">RESPUESTA  </w:t>
      </w:r>
      <w:r>
        <w:rPr>
          <w:sz w:val="21"/>
        </w:rPr>
        <w:t>Etapa 1 — Descarga: obtención del ZIP ESEF desde el OAM. Registro de URL, timestamp UTC y SHA-256 del ZIP original. Etapa 2 — Validación estructural: verificación del fichero contra el esquema ESEF (XSD) con Arelle. Registro de errores. Etapa 3 — Extracción iXBRL: parseo del HTML para extraer los facts XBRL (concepto, valor, periodo, entidad, unidad, decimales, contexto). Etapa 4 — Normalización: conversión a esquema tabular Parquet columnar. Etapa 5 — Sellado del dato bruto: SHA-256 del registro Parquet antes de cualquier transformación. Etapa 6 — Transformación analítica: cálculo de ratios, comparativas sectoriales. Sellado del dato transformado con SHA-256 independiente.</w:t>
      </w:r>
    </w:p>
    <w:p>
      <w:pPr>
        <w:spacing w:after="160"/>
        <w:ind w:left="283"/>
      </w:pPr>
      <w:r>
        <w:rPr>
          <w:i/>
          <w:color w:val="64748B"/>
          <w:sz w:val="18"/>
        </w:rPr>
        <w:t>FUENTE: ESMA (2024): ESEF Reporting Manual v4.0; Arelle Project: arelle.org; Apache Parquet: parquet.apache.org.</w:t>
      </w:r>
    </w:p>
    <w:p/>
    <w:tbl>
      <w:tblPr>
        <w:tblStyle w:val="TableGrid"/>
        <w:tblW w:type="auto" w:w="0"/>
        <w:tblLook w:firstColumn="1" w:firstRow="1" w:lastColumn="0" w:lastRow="0" w:noHBand="0" w:noVBand="1" w:val="04A0"/>
      </w:tblPr>
      <w:tblGrid>
        <w:gridCol w:w="9122"/>
      </w:tblGrid>
      <w:tr>
        <w:tc>
          <w:tcPr>
            <w:tcW w:type="dxa" w:w="9122"/>
            <w:shd w:val="clear" w:color="auto" w:fill="1e3a5f"/>
          </w:tcPr>
          <w:p>
            <w:pPr>
              <w:spacing w:before="60" w:after="60"/>
            </w:pPr>
            <w:r>
              <w:rPr>
                <w:b/>
                <w:color w:val="FFFFFF"/>
                <w:sz w:val="21"/>
              </w:rPr>
              <w:t>PREGUNTA  ¿Cómo se garantiza la auditoría del dato bruto antes de su transformación?</w:t>
            </w:r>
          </w:p>
        </w:tc>
      </w:tr>
    </w:tbl>
    <w:p>
      <w:pPr>
        <w:spacing w:before="80" w:after="40"/>
        <w:ind w:left="283"/>
      </w:pPr>
      <w:r>
        <w:rPr>
          <w:b/>
          <w:color w:val="02629B"/>
          <w:sz w:val="21"/>
        </w:rPr>
        <w:t xml:space="preserve">RESPUESTA  </w:t>
      </w:r>
      <w:r>
        <w:rPr>
          <w:sz w:val="21"/>
        </w:rPr>
        <w:t>El protocolo formaliza una 'zona de cuarentena' del dato bruto: (1) El fichero ESEF descargado se almacena en carpeta inmutable (write-once). (2) Se calcula su SHA-256 y se registra en el manifiesto con timestamp UTC. (3) Cualquier transformación opera sobre una COPIA del dato bruto, nunca sobre el original. (4) Se genera un log de transformación (diff entre bruto y transformado) con referencia cruzada al SHA-256 del original. (5) El dato transformado recibe su propio SHA-256 vinculado al del dato bruto mediante un árbol de trazabilidad bidireccional. Esto permite a cualquier auditor reconstruir exactamente cómo se llegó de A (bruto) a B (transformado).</w:t>
      </w:r>
    </w:p>
    <w:p>
      <w:pPr>
        <w:spacing w:after="160"/>
        <w:ind w:left="283"/>
      </w:pPr>
      <w:r>
        <w:rPr>
          <w:i/>
          <w:color w:val="64748B"/>
          <w:sz w:val="18"/>
        </w:rPr>
        <w:t>FUENTE: Protocolo propio STATER/REX — Cadena de Custodia SHA-256 (Informe Maestro Secciones 15.7-15.8); NIST SP 800-57 (gestión de claves criptográficas).</w:t>
      </w:r>
    </w:p>
    <w:p/>
    <w:p>
      <w:pPr>
        <w:spacing w:before="240" w:after="80"/>
      </w:pPr>
      <w:r>
        <w:rPr>
          <w:b/>
          <w:color w:val="02629B"/>
          <w:sz w:val="24"/>
        </w:rPr>
        <w:t>3.2  Motor híbrido NLP para extracción de KAMs</w:t>
      </w:r>
    </w:p>
    <w:tbl>
      <w:tblPr>
        <w:tblStyle w:val="TableGrid"/>
        <w:tblW w:type="auto" w:w="0"/>
        <w:tblLook w:firstColumn="1" w:firstRow="1" w:lastColumn="0" w:lastRow="0" w:noHBand="0" w:noVBand="1" w:val="04A0"/>
      </w:tblPr>
      <w:tblGrid>
        <w:gridCol w:w="9122"/>
      </w:tblGrid>
      <w:tr>
        <w:tc>
          <w:tcPr>
            <w:tcW w:type="dxa" w:w="9122"/>
            <w:shd w:val="clear" w:color="auto" w:fill="1e3a5f"/>
          </w:tcPr>
          <w:p>
            <w:pPr>
              <w:spacing w:before="60" w:after="60"/>
            </w:pPr>
            <w:r>
              <w:rPr>
                <w:b/>
                <w:color w:val="FFFFFF"/>
                <w:sz w:val="21"/>
              </w:rPr>
              <w:t>PREGUNTA  ¿Por qué se necesita NLP para los KAMs si ya existen etiquetas XBRL?</w:t>
            </w:r>
          </w:p>
        </w:tc>
      </w:tr>
    </w:tbl>
    <w:p>
      <w:pPr>
        <w:spacing w:before="80" w:after="40"/>
        <w:ind w:left="283"/>
      </w:pPr>
      <w:r>
        <w:rPr>
          <w:b/>
          <w:color w:val="02629B"/>
          <w:sz w:val="21"/>
        </w:rPr>
        <w:t xml:space="preserve">RESPUESTA  </w:t>
      </w:r>
      <w:r>
        <w:rPr>
          <w:sz w:val="21"/>
        </w:rPr>
        <w:t>Las etiquetas XBRL del ESEF cubren los estados financieros primarios y notas estructuradas. Los KAMs —en el informe del auditor— son texto libre no etiquetado en el estándar ESEF actual. No existe una taxonomía XBRL aprobada para KAMs en Europa. Por tanto, la única forma de extraer, clasificar y comparar KAMs de forma masiva es mediante NLP.</w:t>
      </w:r>
    </w:p>
    <w:p>
      <w:pPr>
        <w:spacing w:after="160"/>
        <w:ind w:left="283"/>
      </w:pPr>
      <w:r>
        <w:rPr>
          <w:i/>
          <w:color w:val="64748B"/>
          <w:sz w:val="18"/>
        </w:rPr>
        <w:t>FUENTE: ESMA (2023): Report on the Use of Digital Tools in Auditing; IASB/FASB (2023): Digital Reporting Joint Project.</w:t>
      </w:r>
    </w:p>
    <w:p/>
    <w:tbl>
      <w:tblPr>
        <w:tblStyle w:val="TableGrid"/>
        <w:tblW w:type="auto" w:w="0"/>
        <w:tblLook w:firstColumn="1" w:firstRow="1" w:lastColumn="0" w:lastRow="0" w:noHBand="0" w:noVBand="1" w:val="04A0"/>
      </w:tblPr>
      <w:tblGrid>
        <w:gridCol w:w="9122"/>
      </w:tblGrid>
      <w:tr>
        <w:tc>
          <w:tcPr>
            <w:tcW w:type="dxa" w:w="9122"/>
            <w:shd w:val="clear" w:color="auto" w:fill="1e3a5f"/>
          </w:tcPr>
          <w:p>
            <w:pPr>
              <w:spacing w:before="60" w:after="60"/>
            </w:pPr>
            <w:r>
              <w:rPr>
                <w:b/>
                <w:color w:val="FFFFFF"/>
                <w:sz w:val="21"/>
              </w:rPr>
              <w:t>PREGUNTA  ¿Qué arquitectura NLP se propone para la extracción de KAMs?</w:t>
            </w:r>
          </w:p>
        </w:tc>
      </w:tr>
    </w:tbl>
    <w:p>
      <w:pPr>
        <w:spacing w:before="80" w:after="40"/>
        <w:ind w:left="283"/>
      </w:pPr>
      <w:r>
        <w:rPr>
          <w:b/>
          <w:color w:val="02629B"/>
          <w:sz w:val="21"/>
        </w:rPr>
        <w:t xml:space="preserve">RESPUESTA  </w:t>
      </w:r>
      <w:r>
        <w:rPr>
          <w:sz w:val="21"/>
        </w:rPr>
        <w:t>Arquitectura de tres niveles: Nivel 1 — Segmentación: identificación automática de la sección del informe del auditor mediante reglas lingüísticas y heurísticas de posición. Nivel 2 — Detección de KAMs individuales: clasificador de secuencias entrenado sobre corpus anotado manualmente (200 informes, 5 idiomas: ES, FR, DE, IT, EN). Nivel 3 — Clasificación temática: asignación de cada KAM a una de las 12 categorías de riesgo (alineadas con ESMA ECEP 2023) usando embeddings multilingüe (mBERT / XLM-RoBERTa). Control de calidad: validación humana de muestra aleatoria del 10 % con F1-score por categoría.</w:t>
      </w:r>
    </w:p>
    <w:p>
      <w:pPr>
        <w:spacing w:after="160"/>
        <w:ind w:left="283"/>
      </w:pPr>
      <w:r>
        <w:rPr>
          <w:i/>
          <w:color w:val="64748B"/>
          <w:sz w:val="18"/>
        </w:rPr>
        <w:t>FUENTE: Devlin et al. (2019): BERT, NAACL 2019; Conneau et al. (2020): XLM-R, ACL 2020; Loughran &amp; McDonald (2011): Financial Language Dictionaries, JoF.</w:t>
      </w:r>
    </w:p>
    <w:p/>
    <w:p>
      <w:pPr>
        <w:spacing w:before="240" w:after="80"/>
      </w:pPr>
      <w:r>
        <w:rPr>
          <w:b/>
          <w:color w:val="02629B"/>
          <w:sz w:val="24"/>
        </w:rPr>
        <w:t>3.3  Cadena de custodia SHA-256 y trazabilidad forense</w:t>
      </w:r>
    </w:p>
    <w:tbl>
      <w:tblPr>
        <w:tblStyle w:val="TableGrid"/>
        <w:tblW w:type="auto" w:w="0"/>
        <w:tblLook w:firstColumn="1" w:firstRow="1" w:lastColumn="0" w:lastRow="0" w:noHBand="0" w:noVBand="1" w:val="04A0"/>
      </w:tblPr>
      <w:tblGrid>
        <w:gridCol w:w="9122"/>
      </w:tblGrid>
      <w:tr>
        <w:tc>
          <w:tcPr>
            <w:tcW w:type="dxa" w:w="9122"/>
            <w:shd w:val="clear" w:color="auto" w:fill="1e3a5f"/>
          </w:tcPr>
          <w:p>
            <w:pPr>
              <w:spacing w:before="60" w:after="60"/>
            </w:pPr>
            <w:r>
              <w:rPr>
                <w:b/>
                <w:color w:val="FFFFFF"/>
                <w:sz w:val="21"/>
              </w:rPr>
              <w:t>PREGUNTA  ¿Qué garantiza exactamente un hash SHA-256 en el contexto de este pipeline?</w:t>
            </w:r>
          </w:p>
        </w:tc>
      </w:tr>
    </w:tbl>
    <w:p>
      <w:pPr>
        <w:spacing w:before="80" w:after="40"/>
        <w:ind w:left="283"/>
      </w:pPr>
      <w:r>
        <w:rPr>
          <w:b/>
          <w:color w:val="02629B"/>
          <w:sz w:val="21"/>
        </w:rPr>
        <w:t xml:space="preserve">RESPUESTA  </w:t>
      </w:r>
      <w:r>
        <w:rPr>
          <w:sz w:val="21"/>
        </w:rPr>
        <w:t>El SHA-256 es una función criptográfica determinista que transforma cualquier fichero en una cadena hexadecimal de 256 bits. Sus propiedades: (1) Unicidad práctica: probabilidad de colisión 1 en 2^128. (2) Unidireccionalidad: imposible reconstruir el fichero desde el hash. (3) Sensibilidad total: cualquier cambio de un bit produce un hash completamente diferente. LO QUE GARANTIZA: 'Este archivo, en este momento, tenía exactamente este contenido.' LO QUE NO GARANTIZA: que el contenido sea verdadero, que el emisor no haya manipulado el original, ni que la extracción sea correcta. El SHA-256 prueba integridad y cadena de custodia técnica, NO verdad sustantiva.</w:t>
      </w:r>
    </w:p>
    <w:p>
      <w:pPr>
        <w:spacing w:after="160"/>
        <w:ind w:left="283"/>
      </w:pPr>
      <w:r>
        <w:rPr>
          <w:i/>
          <w:color w:val="64748B"/>
          <w:sz w:val="18"/>
        </w:rPr>
        <w:t>FUENTE: NIST FIPS PUB 180-4: Secure Hash Standard; Protocolo propio STATER — Informe Maestro Sección 15.7.</w:t>
      </w:r>
    </w:p>
    <w:p/>
    <w:tbl>
      <w:tblPr>
        <w:tblStyle w:val="TableGrid"/>
        <w:tblW w:type="auto" w:w="0"/>
        <w:tblLook w:firstColumn="1" w:firstRow="1" w:lastColumn="0" w:lastRow="0" w:noHBand="0" w:noVBand="1" w:val="04A0"/>
      </w:tblPr>
      <w:tblGrid>
        <w:gridCol w:w="9122"/>
      </w:tblGrid>
      <w:tr>
        <w:tc>
          <w:tcPr>
            <w:tcW w:type="dxa" w:w="9122"/>
            <w:shd w:val="clear" w:color="auto" w:fill="1e3a5f"/>
          </w:tcPr>
          <w:p>
            <w:pPr>
              <w:spacing w:before="60" w:after="60"/>
            </w:pPr>
            <w:r>
              <w:rPr>
                <w:b/>
                <w:color w:val="FFFFFF"/>
                <w:sz w:val="21"/>
              </w:rPr>
              <w:t>PREGUNTA  ¿Cómo se estructura el árbol de trazabilidad bidireccional?</w:t>
            </w:r>
          </w:p>
        </w:tc>
      </w:tr>
    </w:tbl>
    <w:p>
      <w:pPr>
        <w:spacing w:before="80" w:after="40"/>
        <w:ind w:left="283"/>
      </w:pPr>
      <w:r>
        <w:rPr>
          <w:b/>
          <w:color w:val="02629B"/>
          <w:sz w:val="21"/>
        </w:rPr>
        <w:t xml:space="preserve">RESPUESTA  </w:t>
      </w:r>
      <w:r>
        <w:rPr>
          <w:sz w:val="21"/>
        </w:rPr>
        <w:t>Para cada dato publicado en la plataforma, el árbol registra: [1] SHA-256 del fichero ZIP ESEF descargado. [2] Página/sección exacta del documento. [3] Fragmento textual extraído (máximo proporcional, Art. 32 LPI). [4] URL del OAM y fecha/hora de descarga en UTC. [5] Hash del dato bruto en Parquet (post-parseo iXBRL). [6] Transformación aplicada (descripción, parámetros, versión del código). [7] Hash del dato transformado. [8] Etiqueta de certeza: CONFIRMADA POR NORMA / CONFIRMADA POR FUENTE OFICIAL / INTERPRETACIÓN TÉCNICA / HIPÓTESIS EMPRESARIAL. El árbol permite recorrer en ambas direcciones: del dato al documento fuente y viceversa.</w:t>
      </w:r>
    </w:p>
    <w:p>
      <w:pPr>
        <w:spacing w:after="160"/>
        <w:ind w:left="283"/>
      </w:pPr>
      <w:r>
        <w:rPr>
          <w:i/>
          <w:color w:val="64748B"/>
          <w:sz w:val="18"/>
        </w:rPr>
        <w:t>FUENTE: Protocolo propio STATER — Sección 15.8 del Informe Maestro; W3C PROV-DM (Data Provenance Model).</w:t>
      </w:r>
    </w:p>
    <w:p/>
    <w:p>
      <w:pPr>
        <w:spacing w:before="240" w:after="80"/>
      </w:pPr>
      <w:r>
        <w:rPr>
          <w:b/>
          <w:color w:val="02629B"/>
          <w:sz w:val="24"/>
        </w:rPr>
        <w:t>3.4  Auditoría técnica de datos brutos y transformados [MISIÓN PRINCIPAL]</w:t>
      </w:r>
    </w:p>
    <w:tbl>
      <w:tblPr>
        <w:tblStyle w:val="TableGrid"/>
        <w:tblW w:type="auto" w:w="0"/>
        <w:tblLook w:firstColumn="1" w:firstRow="1" w:lastColumn="0" w:lastRow="0" w:noHBand="0" w:noVBand="1" w:val="04A0"/>
      </w:tblPr>
      <w:tblGrid>
        <w:gridCol w:w="9122"/>
      </w:tblGrid>
      <w:tr>
        <w:tc>
          <w:tcPr>
            <w:tcW w:type="dxa" w:w="9122"/>
            <w:shd w:val="clear" w:color="auto" w:fill="1e3a5f"/>
          </w:tcPr>
          <w:p>
            <w:pPr>
              <w:spacing w:before="60" w:after="60"/>
            </w:pPr>
            <w:r>
              <w:rPr>
                <w:b/>
                <w:color w:val="FFFFFF"/>
                <w:sz w:val="21"/>
              </w:rPr>
              <w:t>PREGUNTA  ¿Qué entiende este TFM por 'auditoría técnica de datos'?</w:t>
            </w:r>
          </w:p>
        </w:tc>
      </w:tr>
    </w:tbl>
    <w:p>
      <w:pPr>
        <w:spacing w:before="80" w:after="40"/>
        <w:ind w:left="283"/>
      </w:pPr>
      <w:r>
        <w:rPr>
          <w:b/>
          <w:color w:val="02629B"/>
          <w:sz w:val="21"/>
        </w:rPr>
        <w:t xml:space="preserve">RESPUESTA  </w:t>
      </w:r>
      <w:r>
        <w:rPr>
          <w:sz w:val="21"/>
        </w:rPr>
        <w:t>La auditoría técnica de datos es el proceso sistemático y documentado de verificación de que: (a) Los datos brutos son íntegros respecto a su fuente original (integridad). (b) Las transformaciones aplicadas son correctas, reproducibles y justificadas (exactitud). (c) No se han introducido sesgos o errores sistemáticos en ninguna etapa (ausencia de sesgo). (d) La cadena de custodia es completa y verificable por un tercero independiente (trazabilidad). Se distingue de la auditoría contable tradicional en que el objeto de análisis no es la información financiera per se, sino el proceso tecnológico que la captura, transforma y presenta.</w:t>
      </w:r>
    </w:p>
    <w:p>
      <w:pPr>
        <w:spacing w:after="160"/>
        <w:ind w:left="283"/>
      </w:pPr>
      <w:r>
        <w:rPr>
          <w:i/>
          <w:color w:val="64748B"/>
          <w:sz w:val="18"/>
        </w:rPr>
        <w:t>FUENTE: ISACA (2024): IT Audit Framework v4; ISO/IEC 27001:2022; AICPA: SOC 2 Type II.</w:t>
      </w:r>
    </w:p>
    <w:p/>
    <w:tbl>
      <w:tblPr>
        <w:tblStyle w:val="TableGrid"/>
        <w:tblW w:type="auto" w:w="0"/>
        <w:tblLook w:firstColumn="1" w:firstRow="1" w:lastColumn="0" w:lastRow="0" w:noHBand="0" w:noVBand="1" w:val="04A0"/>
      </w:tblPr>
      <w:tblGrid>
        <w:gridCol w:w="9122"/>
      </w:tblGrid>
      <w:tr>
        <w:tc>
          <w:tcPr>
            <w:tcW w:type="dxa" w:w="9122"/>
            <w:shd w:val="clear" w:color="auto" w:fill="1e3a5f"/>
          </w:tcPr>
          <w:p>
            <w:pPr>
              <w:spacing w:before="60" w:after="60"/>
            </w:pPr>
            <w:r>
              <w:rPr>
                <w:b/>
                <w:color w:val="FFFFFF"/>
                <w:sz w:val="21"/>
              </w:rPr>
              <w:t>PREGUNTA  ¿Cuáles son los principales vectores de error técnico en un pipeline de datos financieros?</w:t>
            </w:r>
          </w:p>
        </w:tc>
      </w:tr>
    </w:tbl>
    <w:p>
      <w:pPr>
        <w:spacing w:before="80" w:after="40"/>
        <w:ind w:left="283"/>
      </w:pPr>
      <w:r>
        <w:rPr>
          <w:b/>
          <w:color w:val="02629B"/>
          <w:sz w:val="21"/>
        </w:rPr>
        <w:t xml:space="preserve">RESPUESTA  </w:t>
      </w:r>
      <w:r>
        <w:rPr>
          <w:sz w:val="21"/>
        </w:rPr>
        <w:t>Vector 1 — Error de origen: el documento ESEF del OAM contiene errores XBRL (23 % de ficheros, ESMA 2023). Solución: validación pre-ingestión con Arelle + log de rechazos. Vector 2 — Error de parseo: el parser extrae un valor numérico incorrecto por ambigüedad de contexto XBRL. Solución: reconciliación cruzada entre valor parseado y valor visual en HTML. Vector 3 — Error de normalización: conversión de unidades (miles vs. millones; moneda local vs. EUR). Solución: tabla maestra de unidades con reglas auditadas. Vector 4 — Error de transformación: ratio con denominador cero o datos de diferente periodo. Solución: validación de integridad referencial antes de cada cálculo. Vector 5 — Error de modelo NLP: clasificación errónea de KAM o extracción incompleta. Solución: validación humana de muestra aleatoria + F1-score mínimo de 0,85.</w:t>
      </w:r>
    </w:p>
    <w:p>
      <w:pPr>
        <w:spacing w:after="160"/>
        <w:ind w:left="283"/>
      </w:pPr>
      <w:r>
        <w:rPr>
          <w:i/>
          <w:color w:val="64748B"/>
          <w:sz w:val="18"/>
        </w:rPr>
        <w:t>FUENTE: ESMA (2023): ESEF Supervisory Activities Report; Análisis piloto propio STATER (agosto 2024).</w:t>
      </w:r>
    </w:p>
    <w:p/>
    <w:tbl>
      <w:tblPr>
        <w:tblStyle w:val="TableGrid"/>
        <w:tblW w:type="auto" w:w="0"/>
        <w:tblLook w:firstColumn="1" w:firstRow="1" w:lastColumn="0" w:lastRow="0" w:noHBand="0" w:noVBand="1" w:val="04A0"/>
      </w:tblPr>
      <w:tblGrid>
        <w:gridCol w:w="9122"/>
      </w:tblGrid>
      <w:tr>
        <w:tc>
          <w:tcPr>
            <w:tcW w:type="dxa" w:w="9122"/>
            <w:shd w:val="clear" w:color="auto" w:fill="1e3a5f"/>
          </w:tcPr>
          <w:p>
            <w:pPr>
              <w:spacing w:before="60" w:after="60"/>
            </w:pPr>
            <w:r>
              <w:rPr>
                <w:b/>
                <w:color w:val="FFFFFF"/>
                <w:sz w:val="21"/>
              </w:rPr>
              <w:t>PREGUNTA  ¿Qué métricas cuantitativas se proponen para medir la calidad del pipeline?</w:t>
            </w:r>
          </w:p>
        </w:tc>
      </w:tr>
    </w:tbl>
    <w:p>
      <w:pPr>
        <w:spacing w:before="80" w:after="40"/>
        <w:ind w:left="283"/>
      </w:pPr>
      <w:r>
        <w:rPr>
          <w:b/>
          <w:color w:val="02629B"/>
          <w:sz w:val="21"/>
        </w:rPr>
        <w:t xml:space="preserve">RESPUESTA  </w:t>
      </w:r>
      <w:r>
        <w:rPr>
          <w:sz w:val="21"/>
        </w:rPr>
        <w:t>8 KPIs de calidad definidos formalmente: (1) Tasa de ingestión exitosa: % de ficheros ESEF descargados sin error. Meta: &gt;95 %. (2) Tasa de validación XBRL: % que superan Arelle sin errores críticos. Meta: &gt;77 % (benchmark europeo ESMA 2023). (3) Tasa de extracción de estados primarios: % de celdas extraídas sin ambigüedad. Meta: &gt;99 %. (4) Tasa de reconciliación visual: % de valores parseados que coinciden con HTML +/-0,1 %. Meta: &gt;99,5 %. (5) Tasa de completitud temporal: % de empresas con series 2019-2024 completas. Meta: &gt;80 %. (6) F1-score NLP (KAMs): precisión del clasificador sobre muestra validada. Meta: &gt;0,85. (7) Cobertura geográfica: % de empresas con dato disponible por país. (8) Latencia de actualización: horas desde depósito en OAM hasta plataforma. Meta: &lt;48 h.</w:t>
      </w:r>
    </w:p>
    <w:p>
      <w:pPr>
        <w:spacing w:after="160"/>
        <w:ind w:left="283"/>
      </w:pPr>
      <w:r>
        <w:rPr>
          <w:i/>
          <w:color w:val="64748B"/>
          <w:sz w:val="18"/>
        </w:rPr>
        <w:t>FUENTE: ISO/IEC 25012:2008; DAMA-DMBOK2 (Data Management Body of Knowledge, 2017).</w:t>
      </w:r>
    </w:p>
    <w:p/>
    <w:p>
      <w:r>
        <w:br w:type="page"/>
      </w:r>
    </w:p>
    <w:p>
      <w:pPr>
        <w:spacing w:before="360" w:after="80"/>
      </w:pPr>
      <w:r>
        <w:rPr>
          <w:b/>
          <w:color w:val="0F2955"/>
          <w:sz w:val="28"/>
        </w:rPr>
        <w:t>CAPÍTULO 4 — ANÁLISIS EMPÍRICO Y RESULTADOS COMPARATIVOS</w:t>
      </w:r>
    </w:p>
    <w:p>
      <w:pPr>
        <w:spacing w:after="120"/>
      </w:pPr>
      <w:r>
        <w:rPr>
          <w:color w:val="02629B"/>
          <w:sz w:val="16"/>
        </w:rPr>
        <w:t>_______________________________________________________________________________________________</w:t>
      </w:r>
    </w:p>
    <w:p>
      <w:pPr>
        <w:spacing w:before="240" w:after="80"/>
      </w:pPr>
      <w:r>
        <w:rPr>
          <w:b/>
          <w:color w:val="02629B"/>
          <w:sz w:val="24"/>
        </w:rPr>
        <w:t>4.1  Muestra paneuropea: diseño y justificación</w:t>
      </w:r>
    </w:p>
    <w:tbl>
      <w:tblPr>
        <w:tblStyle w:val="TableGrid"/>
        <w:tblW w:type="auto" w:w="0"/>
        <w:tblLook w:firstColumn="1" w:firstRow="1" w:lastColumn="0" w:lastRow="0" w:noHBand="0" w:noVBand="1" w:val="04A0"/>
      </w:tblPr>
      <w:tblGrid>
        <w:gridCol w:w="9122"/>
      </w:tblGrid>
      <w:tr>
        <w:tc>
          <w:tcPr>
            <w:tcW w:type="dxa" w:w="9122"/>
            <w:shd w:val="clear" w:color="auto" w:fill="1e3a5f"/>
          </w:tcPr>
          <w:p>
            <w:pPr>
              <w:spacing w:before="60" w:after="60"/>
            </w:pPr>
            <w:r>
              <w:rPr>
                <w:b/>
                <w:color w:val="FFFFFF"/>
                <w:sz w:val="21"/>
              </w:rPr>
              <w:t>PREGUNTA  ¿Cómo se diseña la muestra de 500 empresas?</w:t>
            </w:r>
          </w:p>
        </w:tc>
      </w:tr>
    </w:tbl>
    <w:p>
      <w:pPr>
        <w:spacing w:before="80" w:after="40"/>
        <w:ind w:left="283"/>
      </w:pPr>
      <w:r>
        <w:rPr>
          <w:b/>
          <w:color w:val="02629B"/>
          <w:sz w:val="21"/>
        </w:rPr>
        <w:t xml:space="preserve">RESPUESTA  </w:t>
      </w:r>
      <w:r>
        <w:rPr>
          <w:sz w:val="21"/>
        </w:rPr>
        <w:t>Muestra estratificada por país, sector y tamaño: España: 100 empresas (IBEX 35 + IBEX Small Cap + BME Continuo). Francia: 100 empresas (CAC 40 + SBF 120 + Euronext Growth selección). Alemania: 100 empresas (DAX 40 + MDAX + SDAX selección). Italia: 100 empresas (FTSE MIB + FTSE Italia Mid Cap). Países Bajos: 100 empresas (AEX + AMX + AScX). Criterio de inclusión: cotización en mercado regulado desde 1.1.2019 y disponibilidad de informe anual iXBRL/ESEF para 3+ ejercicios consecutivos. Horizonte temporal: ejercicios 2019-2024 (6 años).</w:t>
      </w:r>
    </w:p>
    <w:p>
      <w:pPr>
        <w:spacing w:after="160"/>
        <w:ind w:left="283"/>
      </w:pPr>
      <w:r>
        <w:rPr>
          <w:i/>
          <w:color w:val="64748B"/>
          <w:sz w:val="18"/>
        </w:rPr>
        <w:t>FUENTE: GLEIF (2024): LEI Data (CC-BY 4.0); Euronext (2024): Factbook 2024; BME (2024): Informe de Mercado.</w:t>
      </w:r>
    </w:p>
    <w:p/>
    <w:tbl>
      <w:tblPr>
        <w:tblStyle w:val="TableGrid"/>
        <w:tblW w:type="auto" w:w="0"/>
        <w:tblLook w:firstColumn="1" w:firstRow="1" w:lastColumn="0" w:lastRow="0" w:noHBand="0" w:noVBand="1" w:val="04A0"/>
      </w:tblPr>
      <w:tblGrid>
        <w:gridCol w:w="9122"/>
      </w:tblGrid>
      <w:tr>
        <w:tc>
          <w:tcPr>
            <w:tcW w:type="dxa" w:w="9122"/>
            <w:shd w:val="clear" w:color="auto" w:fill="1e3a5f"/>
          </w:tcPr>
          <w:p>
            <w:pPr>
              <w:spacing w:before="60" w:after="60"/>
            </w:pPr>
            <w:r>
              <w:rPr>
                <w:b/>
                <w:color w:val="FFFFFF"/>
                <w:sz w:val="21"/>
              </w:rPr>
              <w:t>PREGUNTA  ¿Qué variables se extraen para cada empresa y ejercicio?</w:t>
            </w:r>
          </w:p>
        </w:tc>
      </w:tr>
    </w:tbl>
    <w:p>
      <w:pPr>
        <w:spacing w:before="80" w:after="40"/>
        <w:ind w:left="283"/>
      </w:pPr>
      <w:r>
        <w:rPr>
          <w:b/>
          <w:color w:val="02629B"/>
          <w:sz w:val="21"/>
        </w:rPr>
        <w:t xml:space="preserve">RESPUESTA  </w:t>
      </w:r>
      <w:r>
        <w:rPr>
          <w:sz w:val="21"/>
        </w:rPr>
        <w:t>Bloque A — Estados financieros primarios (iXBRL): Activo total, deuda financiera neta, ingresos, EBITDA, resultado neto, fondos propios, flujo de caja operativo, capex. Todos con SHA-256 de origen. Bloque B — KAMs del informe de auditoría (NLP): Número de KAMs, categoría temática, firma auditora, extensión textual (palabras), idioma original. Bloque C — Información CSRD/ESRS (cuando disponible): Emisiones Scope 1, 2, 3 (tCO2e); ratio de intensidad de carbono; objetivos cuantitativos; certificación externa. Bloque D — Metadatos de trazabilidad: URL, OAM, fecha UTC, SHA-256 bruto, SHA-256 transformado, errores detectados.</w:t>
      </w:r>
    </w:p>
    <w:p>
      <w:pPr>
        <w:spacing w:after="160"/>
        <w:ind w:left="283"/>
      </w:pPr>
      <w:r>
        <w:rPr>
          <w:i/>
          <w:color w:val="64748B"/>
          <w:sz w:val="18"/>
        </w:rPr>
        <w:t>FUENTE: ESMA (2024): ESEF Taxonomy 2024; EFRAG (2023): ESRS E1.</w:t>
      </w:r>
    </w:p>
    <w:p/>
    <w:p>
      <w:pPr>
        <w:spacing w:before="240" w:after="80"/>
      </w:pPr>
      <w:r>
        <w:rPr>
          <w:b/>
          <w:color w:val="02629B"/>
          <w:sz w:val="24"/>
        </w:rPr>
        <w:t>4.2  Taxonomía de KAMs recurrentes por sector</w:t>
      </w:r>
    </w:p>
    <w:tbl>
      <w:tblPr>
        <w:tblStyle w:val="TableGrid"/>
        <w:tblW w:type="auto" w:w="0"/>
        <w:tblLook w:firstColumn="1" w:firstRow="1" w:lastColumn="0" w:lastRow="0" w:noHBand="0" w:noVBand="1" w:val="04A0"/>
      </w:tblPr>
      <w:tblGrid>
        <w:gridCol w:w="9122"/>
      </w:tblGrid>
      <w:tr>
        <w:tc>
          <w:tcPr>
            <w:tcW w:type="dxa" w:w="9122"/>
            <w:shd w:val="clear" w:color="auto" w:fill="1e3a5f"/>
          </w:tcPr>
          <w:p>
            <w:pPr>
              <w:spacing w:before="60" w:after="60"/>
            </w:pPr>
            <w:r>
              <w:rPr>
                <w:b/>
                <w:color w:val="FFFFFF"/>
                <w:sz w:val="21"/>
              </w:rPr>
              <w:t>PREGUNTA  ¿Cuáles son los KAMs más frecuentes en cada sector GICS?</w:t>
            </w:r>
          </w:p>
        </w:tc>
      </w:tr>
    </w:tbl>
    <w:p>
      <w:pPr>
        <w:spacing w:before="80" w:after="40"/>
        <w:ind w:left="283"/>
      </w:pPr>
      <w:r>
        <w:rPr>
          <w:b/>
          <w:color w:val="02629B"/>
          <w:sz w:val="21"/>
        </w:rPr>
        <w:t xml:space="preserve">RESPUESTA  </w:t>
      </w:r>
      <w:r>
        <w:rPr>
          <w:sz w:val="21"/>
        </w:rPr>
        <w:t>Datos de revisión de literatura y análisis piloto propio (50 empresas, 2022): Energía &amp; Utilities: KAM dominante → Provisiones por desmantelamiento (67 %). Financiero (bancos): KAM dominante → Deterioro cartera de crédito / IFRS 9 ECL (81 %). Industrial &amp; Manufactura: KAM dominante → Activación de costes I+D / IAS 38 (44 %). Real Estate: KAM dominante → Valoración a valor razonable / IAS 40 (73 %). Tecnología: KAM dominante → Reconocimiento de ingresos en contratos / IFRS 15 (58 %). Healthcare &amp; Pharma: KAM dominante → Contingencias regulatorias y litigios (52 %). Conclusión: la taxonomía de KAMs es sectorial, predecible y sistematizable.</w:t>
      </w:r>
    </w:p>
    <w:p>
      <w:pPr>
        <w:spacing w:after="160"/>
        <w:ind w:left="283"/>
      </w:pPr>
      <w:r>
        <w:rPr>
          <w:i/>
          <w:color w:val="64748B"/>
          <w:sz w:val="18"/>
        </w:rPr>
        <w:t>FUENTE: ESMA (2023): ECEP 2023; ICAC (2022-2023): Informes de Calidad de la Auditoría; Prueba piloto propia STATER (agosto 2024).</w:t>
      </w:r>
    </w:p>
    <w:p/>
    <w:p>
      <w:pPr>
        <w:spacing w:before="240" w:after="80"/>
      </w:pPr>
      <w:r>
        <w:rPr>
          <w:b/>
          <w:color w:val="02629B"/>
          <w:sz w:val="24"/>
        </w:rPr>
        <w:t>4.3  Detección de inconsistencias CSRD (greenwashing cuantitativo)</w:t>
      </w:r>
    </w:p>
    <w:tbl>
      <w:tblPr>
        <w:tblStyle w:val="TableGrid"/>
        <w:tblW w:type="auto" w:w="0"/>
        <w:tblLook w:firstColumn="1" w:firstRow="1" w:lastColumn="0" w:lastRow="0" w:noHBand="0" w:noVBand="1" w:val="04A0"/>
      </w:tblPr>
      <w:tblGrid>
        <w:gridCol w:w="9122"/>
      </w:tblGrid>
      <w:tr>
        <w:tc>
          <w:tcPr>
            <w:tcW w:type="dxa" w:w="9122"/>
            <w:shd w:val="clear" w:color="auto" w:fill="1e3a5f"/>
          </w:tcPr>
          <w:p>
            <w:pPr>
              <w:spacing w:before="60" w:after="60"/>
            </w:pPr>
            <w:r>
              <w:rPr>
                <w:b/>
                <w:color w:val="FFFFFF"/>
                <w:sz w:val="21"/>
              </w:rPr>
              <w:t>PREGUNTA  ¿Cómo se detecta el greenwashing cuantitativo mediante el pipeline?</w:t>
            </w:r>
          </w:p>
        </w:tc>
      </w:tr>
    </w:tbl>
    <w:p>
      <w:pPr>
        <w:spacing w:before="80" w:after="40"/>
        <w:ind w:left="283"/>
      </w:pPr>
      <w:r>
        <w:rPr>
          <w:b/>
          <w:color w:val="02629B"/>
          <w:sz w:val="21"/>
        </w:rPr>
        <w:t xml:space="preserve">RESPUESTA  </w:t>
      </w:r>
      <w:r>
        <w:rPr>
          <w:sz w:val="21"/>
        </w:rPr>
        <w:t>La metodología se articula en tres pruebas cruzadas: Prueba 1 — Consistencia interna: ¿Los datos de emisiones Scope 1 son coherentes con el ejercicio anterior (variación &lt;= 15 % sin explicación estructural)? Prueba 2 — Coherencia compromiso-realidad: ¿La trayectoria real de reducción es compatible con el objetivo declarado? Si una empresa declara 'net zero 2040' pero sus emisiones crecen un 8 % interanual, existe una inconsistencia cuantificable. Prueba 3 — Verificación de certificaciones: ¿El informe cita verificación externa? ¿La entidad verificadora está acreditada (ISO 14064-3, ISAE 3410)? ¿Cubre Scope 3? Resultado: identificación de 'brechas de aseguramiento' que el auditor debe escalar bajo ISSA 5000.</w:t>
      </w:r>
    </w:p>
    <w:p>
      <w:pPr>
        <w:spacing w:after="160"/>
        <w:ind w:left="283"/>
      </w:pPr>
      <w:r>
        <w:rPr>
          <w:i/>
          <w:color w:val="64748B"/>
          <w:sz w:val="18"/>
        </w:rPr>
        <w:t>FUENTE: EFRAG (2023): ESRS E1; ISAE 3410: Assurance on GHG Statements; CDP (2023): Global Carbon Analysis.</w:t>
      </w:r>
    </w:p>
    <w:p/>
    <w:p>
      <w:r>
        <w:br w:type="page"/>
      </w:r>
    </w:p>
    <w:p>
      <w:pPr>
        <w:spacing w:before="360" w:after="80"/>
      </w:pPr>
      <w:r>
        <w:rPr>
          <w:b/>
          <w:color w:val="0F2955"/>
          <w:sz w:val="28"/>
        </w:rPr>
        <w:t>CAPÍTULO 5 — IMPLICACIONES PARA LA PROFESIÓN Y POLÍTICAS PÚBLICAS</w:t>
      </w:r>
    </w:p>
    <w:p>
      <w:pPr>
        <w:spacing w:after="120"/>
      </w:pPr>
      <w:r>
        <w:rPr>
          <w:color w:val="02629B"/>
          <w:sz w:val="16"/>
        </w:rPr>
        <w:t>_______________________________________________________________________________________________</w:t>
      </w:r>
    </w:p>
    <w:p>
      <w:pPr>
        <w:spacing w:before="240" w:after="80"/>
      </w:pPr>
      <w:r>
        <w:rPr>
          <w:b/>
          <w:color w:val="02629B"/>
          <w:sz w:val="24"/>
        </w:rPr>
        <w:t>5.1  El Audit Expectation Gap y los sistemas automatizados</w:t>
      </w:r>
    </w:p>
    <w:tbl>
      <w:tblPr>
        <w:tblStyle w:val="TableGrid"/>
        <w:tblW w:type="auto" w:w="0"/>
        <w:tblLook w:firstColumn="1" w:firstRow="1" w:lastColumn="0" w:lastRow="0" w:noHBand="0" w:noVBand="1" w:val="04A0"/>
      </w:tblPr>
      <w:tblGrid>
        <w:gridCol w:w="9122"/>
      </w:tblGrid>
      <w:tr>
        <w:tc>
          <w:tcPr>
            <w:tcW w:type="dxa" w:w="9122"/>
            <w:shd w:val="clear" w:color="auto" w:fill="1e3a5f"/>
          </w:tcPr>
          <w:p>
            <w:pPr>
              <w:spacing w:before="60" w:after="60"/>
            </w:pPr>
            <w:r>
              <w:rPr>
                <w:b/>
                <w:color w:val="FFFFFF"/>
                <w:sz w:val="21"/>
              </w:rPr>
              <w:t>PREGUNTA  ¿Qué es el Audit Expectation Gap y cómo lo afecta este TFM?</w:t>
            </w:r>
          </w:p>
        </w:tc>
      </w:tr>
    </w:tbl>
    <w:p>
      <w:pPr>
        <w:spacing w:before="80" w:after="40"/>
        <w:ind w:left="283"/>
      </w:pPr>
      <w:r>
        <w:rPr>
          <w:b/>
          <w:color w:val="02629B"/>
          <w:sz w:val="21"/>
        </w:rPr>
        <w:t xml:space="preserve">RESPUESTA  </w:t>
      </w:r>
      <w:r>
        <w:rPr>
          <w:sz w:val="21"/>
        </w:rPr>
        <w:t>El Audit Expectation Gap (AEG) es la brecha entre lo que los usuarios de la información financiera esperan de la auditoría y lo que ésta realmente ofrece (Liggio, 1974). Porter (1993) lo descompone en: (1) Gap de razonabilidad (expectativas irrealistas), (2) Gap de rendimiento (el auditor no hace todo lo que debería), (3) Gap de deficiencia en normas (las normas no requieren lo que se esperaría). La contribución de este TFM: un sistema de extracción automatizada de KAMs hace visible y comparable dónde concentró el auditor su trabajo, reduciendo el gap de información. La verificación de consistencia CSRD reduce el gap de deficiencia de normas al anticipar evidencia que los auditores deberán revisar bajo ISSA 5000.</w:t>
      </w:r>
    </w:p>
    <w:p>
      <w:pPr>
        <w:spacing w:after="160"/>
        <w:ind w:left="283"/>
      </w:pPr>
      <w:r>
        <w:rPr>
          <w:i/>
          <w:color w:val="64748B"/>
          <w:sz w:val="18"/>
        </w:rPr>
        <w:t>FUENTE: Liggio (1974): The Expectation Gap; Porter (1993): An Empirical Study of the AEG, Accounting and Business Research, 24(93).</w:t>
      </w:r>
    </w:p>
    <w:p/>
    <w:p>
      <w:pPr>
        <w:spacing w:before="240" w:after="80"/>
      </w:pPr>
      <w:r>
        <w:rPr>
          <w:b/>
          <w:color w:val="02629B"/>
          <w:sz w:val="24"/>
        </w:rPr>
        <w:t>5.2  Assurance limitado vs. razonable bajo ISSA 5000</w:t>
      </w:r>
    </w:p>
    <w:tbl>
      <w:tblPr>
        <w:tblStyle w:val="TableGrid"/>
        <w:tblW w:type="auto" w:w="0"/>
        <w:tblLook w:firstColumn="1" w:firstRow="1" w:lastColumn="0" w:lastRow="0" w:noHBand="0" w:noVBand="1" w:val="04A0"/>
      </w:tblPr>
      <w:tblGrid>
        <w:gridCol w:w="9122"/>
      </w:tblGrid>
      <w:tr>
        <w:tc>
          <w:tcPr>
            <w:tcW w:type="dxa" w:w="9122"/>
            <w:shd w:val="clear" w:color="auto" w:fill="1e3a5f"/>
          </w:tcPr>
          <w:p>
            <w:pPr>
              <w:spacing w:before="60" w:after="60"/>
            </w:pPr>
            <w:r>
              <w:rPr>
                <w:b/>
                <w:color w:val="FFFFFF"/>
                <w:sz w:val="21"/>
              </w:rPr>
              <w:t>PREGUNTA  ¿Qué implicaciones metodológicas tiene para el auditor la migración a assurance razonable?</w:t>
            </w:r>
          </w:p>
        </w:tc>
      </w:tr>
    </w:tbl>
    <w:p>
      <w:pPr>
        <w:spacing w:before="80" w:after="40"/>
        <w:ind w:left="283"/>
      </w:pPr>
      <w:r>
        <w:rPr>
          <w:b/>
          <w:color w:val="02629B"/>
          <w:sz w:val="21"/>
        </w:rPr>
        <w:t xml:space="preserve">RESPUESTA  </w:t>
      </w:r>
      <w:r>
        <w:rPr>
          <w:sz w:val="21"/>
        </w:rPr>
        <w:t>El paso a assurance razonable exige al auditor: (1) Obtener evidencia suficiente sobre la totalidad de las divulgaciones, multiplicando el volumen de pruebas necesarias. (2) Realizar procedimientos analíticos sustantivos sobre datos cuantitativos de sostenibilidad (Scope 1, 2, 3; agua; residuos; métricas sociales). (3) Evaluar la cadena de datos desde la fuente primaria (medidores, facturas, ERP) hasta el informe ESRS publicado. La implicación directa: el pipeline de trazabilidad forense que propone este TFM es exactamente el tipo de herramienta que los auditores necesitarán para cumplir con los procedimientos de assurance razonable de forma eficiente y auditable.</w:t>
      </w:r>
    </w:p>
    <w:p>
      <w:pPr>
        <w:spacing w:after="160"/>
        <w:ind w:left="283"/>
      </w:pPr>
      <w:r>
        <w:rPr>
          <w:i/>
          <w:color w:val="64748B"/>
          <w:sz w:val="18"/>
        </w:rPr>
        <w:t>FUENTE: IAASB: ISSA 5000 (2024), párrafos 150-200; ICJCE (2024): Guía Aplicación ISSA 5000 España.</w:t>
      </w:r>
    </w:p>
    <w:p/>
    <w:p>
      <w:pPr>
        <w:spacing w:before="240" w:after="80"/>
      </w:pPr>
      <w:r>
        <w:rPr>
          <w:b/>
          <w:color w:val="02629B"/>
          <w:sz w:val="24"/>
        </w:rPr>
        <w:t>5.3  ESAP 2026-2027 y el futuro de la transparencia europea</w:t>
      </w:r>
    </w:p>
    <w:tbl>
      <w:tblPr>
        <w:tblStyle w:val="TableGrid"/>
        <w:tblW w:type="auto" w:w="0"/>
        <w:tblLook w:firstColumn="1" w:firstRow="1" w:lastColumn="0" w:lastRow="0" w:noHBand="0" w:noVBand="1" w:val="04A0"/>
      </w:tblPr>
      <w:tblGrid>
        <w:gridCol w:w="9122"/>
      </w:tblGrid>
      <w:tr>
        <w:tc>
          <w:tcPr>
            <w:tcW w:type="dxa" w:w="9122"/>
            <w:shd w:val="clear" w:color="auto" w:fill="1e3a5f"/>
          </w:tcPr>
          <w:p>
            <w:pPr>
              <w:spacing w:before="60" w:after="60"/>
            </w:pPr>
            <w:r>
              <w:rPr>
                <w:b/>
                <w:color w:val="FFFFFF"/>
                <w:sz w:val="21"/>
              </w:rPr>
              <w:t>PREGUNTA  ¿Qué impacto tendrá el ESAP sobre la viabilidad del modelo REX/STATER?</w:t>
            </w:r>
          </w:p>
        </w:tc>
      </w:tr>
    </w:tbl>
    <w:p>
      <w:pPr>
        <w:spacing w:before="80" w:after="40"/>
        <w:ind w:left="283"/>
      </w:pPr>
      <w:r>
        <w:rPr>
          <w:b/>
          <w:color w:val="02629B"/>
          <w:sz w:val="21"/>
        </w:rPr>
        <w:t xml:space="preserve">RESPUESTA  </w:t>
      </w:r>
      <w:r>
        <w:rPr>
          <w:sz w:val="21"/>
        </w:rPr>
        <w:t>El ESAP (operativo en 2027) cambiará el ecosistema de datos europeo de forma estructural. OPORTUNIDADES: La estandarización facilitará la ingestión automatizada al eliminar la heterogeneidad de los OAMs. REX podrá reducir costes de recolección y destinar más recursos al análisis. El ESAP no proporcionará análisis derivados (ratios, KAMs clasificados, scores CSRD): ese es el valor añadido de REX. AMENAZAS: Si el ESAP incorpora funcionalidades analíticas avanzadas (como la SEC con su API de company_facts), podría sustituir parcialmente la capa de extracción de REX. ESTRATEGIA: enfocarse en el análisis semántico (NLP sobre KAMs y ESRS) y en la trazabilidad forense, que el ESAP no ofrecerá.</w:t>
      </w:r>
    </w:p>
    <w:p>
      <w:pPr>
        <w:spacing w:after="160"/>
        <w:ind w:left="283"/>
      </w:pPr>
      <w:r>
        <w:rPr>
          <w:i/>
          <w:color w:val="64748B"/>
          <w:sz w:val="18"/>
        </w:rPr>
        <w:t>FUENTE: Reglamento (UE) 2023/2859, Arts. 10-15; Análisis estratégico STATER/REX — Informe Maestro, Cap. 15.</w:t>
      </w:r>
    </w:p>
    <w:p/>
    <w:p>
      <w:r>
        <w:br w:type="page"/>
      </w:r>
    </w:p>
    <w:p>
      <w:pPr>
        <w:spacing w:before="360" w:after="80"/>
      </w:pPr>
      <w:r>
        <w:rPr>
          <w:b/>
          <w:color w:val="0F2955"/>
          <w:sz w:val="28"/>
        </w:rPr>
        <w:t>6. CONCLUSIONES FINALES</w:t>
      </w:r>
    </w:p>
    <w:p>
      <w:pPr>
        <w:spacing w:after="120"/>
      </w:pPr>
      <w:r>
        <w:rPr>
          <w:color w:val="02629B"/>
          <w:sz w:val="16"/>
        </w:rPr>
        <w:t>_______________________________________________________________________________________________</w:t>
      </w:r>
    </w:p>
    <w:tbl>
      <w:tblPr>
        <w:tblStyle w:val="TableGrid"/>
        <w:tblW w:type="auto" w:w="0"/>
        <w:tblLook w:firstColumn="1" w:firstRow="1" w:lastColumn="0" w:lastRow="0" w:noHBand="0" w:noVBand="1" w:val="04A0"/>
      </w:tblPr>
      <w:tblGrid>
        <w:gridCol w:w="9122"/>
      </w:tblGrid>
      <w:tr>
        <w:tc>
          <w:tcPr>
            <w:tcW w:type="dxa" w:w="9122"/>
            <w:shd w:val="clear" w:color="auto" w:fill="1e3a5f"/>
          </w:tcPr>
          <w:p>
            <w:pPr>
              <w:spacing w:before="60" w:after="60"/>
            </w:pPr>
            <w:r>
              <w:rPr>
                <w:b/>
                <w:color w:val="FFFFFF"/>
                <w:sz w:val="21"/>
              </w:rPr>
              <w:t>PREGUNTA  ¿Cuáles son las tres contribuciones originales de este TFM?</w:t>
            </w:r>
          </w:p>
        </w:tc>
      </w:tr>
    </w:tbl>
    <w:p>
      <w:pPr>
        <w:spacing w:before="80" w:after="40"/>
        <w:ind w:left="283"/>
      </w:pPr>
      <w:r>
        <w:rPr>
          <w:b/>
          <w:color w:val="02629B"/>
          <w:sz w:val="21"/>
        </w:rPr>
        <w:t xml:space="preserve">RESPUESTA  </w:t>
      </w:r>
      <w:r>
        <w:rPr>
          <w:sz w:val="21"/>
        </w:rPr>
        <w:t>Contribución 1 — METODOLÓGICA: Diseño y formalización de un pipeline de ingestión, transformación y auditoría técnica de datos ESEF/KAMs/CSRD con protocolo de trazabilidad forense SHA-256, reproducible y verificable por terceros. Primera propuesta de este tipo con alcance paneuropeo y multilingüe. Contribución 2 — EMPÍRICA: Construcción de la primera base de datos comparativa de KAMs paneuropea (500 empresas, 5 países, 6 años) con clasificación temática automatizada validada, y análisis de consistencia cuantitativa entre compromisos CSRD y datos de emisiones. Contribución 3 — POLÍTICA: Evidencia empírica cuantitativa sobre el déficit de APIs abiertas en OAMs europeos y sobre la brecha de cobertura en pymes cotizadas, con recomendaciones para ESMA/CNMV e ICJCE/REA de cara a la implementación de ISSA 5000.</w:t>
      </w:r>
    </w:p>
    <w:p>
      <w:pPr>
        <w:spacing w:after="160"/>
        <w:ind w:left="283"/>
      </w:pPr>
      <w:r>
        <w:rPr>
          <w:i/>
          <w:color w:val="64748B"/>
          <w:sz w:val="18"/>
        </w:rPr>
        <w:t>FUENTE: Marco metodológico y análisis empírico propios.</w:t>
      </w:r>
    </w:p>
    <w:p/>
    <w:p>
      <w:r>
        <w:br w:type="page"/>
      </w:r>
    </w:p>
    <w:p>
      <w:pPr>
        <w:spacing w:before="360" w:after="80"/>
      </w:pPr>
      <w:r>
        <w:rPr>
          <w:b/>
          <w:color w:val="0F2955"/>
          <w:sz w:val="28"/>
        </w:rPr>
        <w:t>7. BIBLIOGRAFÍA Y FUENTES PRIMARIAS SELECCIONADAS</w:t>
      </w:r>
    </w:p>
    <w:p>
      <w:pPr>
        <w:spacing w:after="120"/>
      </w:pPr>
      <w:r>
        <w:rPr>
          <w:color w:val="02629B"/>
          <w:sz w:val="16"/>
        </w:rPr>
        <w:t>_______________________________________________________________________________________________</w:t>
      </w:r>
    </w:p>
    <w:p>
      <w:pPr>
        <w:spacing w:before="160" w:after="60"/>
      </w:pPr>
      <w:r>
        <w:rPr>
          <w:b/>
          <w:color w:val="334D6E"/>
          <w:sz w:val="22"/>
        </w:rPr>
        <w:t>Normativa UE primaria</w:t>
      </w:r>
    </w:p>
    <w:p>
      <w:pPr>
        <w:pStyle w:val="ListBullet"/>
      </w:pPr>
      <w:r>
        <w:rPr>
          <w:sz w:val="19"/>
        </w:rPr>
        <w:t>Directiva (UE) 2022/2464 (CSRD), DOUE L322, 16.12.2022.</w:t>
      </w:r>
    </w:p>
    <w:p>
      <w:pPr>
        <w:pStyle w:val="ListBullet"/>
      </w:pPr>
      <w:r>
        <w:rPr>
          <w:sz w:val="19"/>
        </w:rPr>
        <w:t>Reglamento (UE) 2023/2859 (ESAP), DOUE 20.12.2023.</w:t>
      </w:r>
    </w:p>
    <w:p>
      <w:pPr>
        <w:pStyle w:val="ListBullet"/>
      </w:pPr>
      <w:r>
        <w:rPr>
          <w:sz w:val="19"/>
        </w:rPr>
        <w:t>Reglamento Delegado (UE) 2019/815 (ESEF), DOUE 17.4.2019.</w:t>
      </w:r>
    </w:p>
    <w:p>
      <w:pPr>
        <w:pStyle w:val="ListBullet"/>
      </w:pPr>
      <w:r>
        <w:rPr>
          <w:sz w:val="19"/>
        </w:rPr>
        <w:t>Reglamento Delegado (UE) 2023/2772 (ESRS Set 1), DOUE 22.12.2023.</w:t>
      </w:r>
    </w:p>
    <w:p>
      <w:pPr>
        <w:pStyle w:val="ListBullet"/>
      </w:pPr>
      <w:r>
        <w:rPr>
          <w:sz w:val="19"/>
        </w:rPr>
        <w:t>Directiva 96/9/CE (Bases de datos), DOUE 27.3.1996.</w:t>
      </w:r>
    </w:p>
    <w:p>
      <w:pPr>
        <w:spacing w:before="160" w:after="60"/>
      </w:pPr>
      <w:r>
        <w:rPr>
          <w:b/>
          <w:color w:val="334D6E"/>
          <w:sz w:val="22"/>
        </w:rPr>
        <w:t>Estándares internacionales de auditoría</w:t>
      </w:r>
    </w:p>
    <w:p>
      <w:pPr>
        <w:pStyle w:val="ListBullet"/>
      </w:pPr>
      <w:r>
        <w:rPr>
          <w:sz w:val="19"/>
        </w:rPr>
        <w:t>IAASB: ISA 701 — Communicating Key Audit Matters (2015).</w:t>
      </w:r>
    </w:p>
    <w:p>
      <w:pPr>
        <w:pStyle w:val="ListBullet"/>
      </w:pPr>
      <w:r>
        <w:rPr>
          <w:sz w:val="19"/>
        </w:rPr>
        <w:t>IAASB: ISSA 5000 — General Requirements for Sustainability Assurance (2024).</w:t>
      </w:r>
    </w:p>
    <w:p>
      <w:pPr>
        <w:pStyle w:val="ListBullet"/>
      </w:pPr>
      <w:r>
        <w:rPr>
          <w:sz w:val="19"/>
        </w:rPr>
        <w:t>PCAOB: AS 3101 — The Auditor's Report (2017).</w:t>
      </w:r>
    </w:p>
    <w:p>
      <w:pPr>
        <w:spacing w:before="160" w:after="60"/>
      </w:pPr>
      <w:r>
        <w:rPr>
          <w:b/>
          <w:color w:val="334D6E"/>
          <w:sz w:val="22"/>
        </w:rPr>
        <w:t>ESMA</w:t>
      </w:r>
    </w:p>
    <w:p>
      <w:pPr>
        <w:pStyle w:val="ListBullet"/>
      </w:pPr>
      <w:r>
        <w:rPr>
          <w:sz w:val="19"/>
        </w:rPr>
        <w:t>ESMA32-60-254: ESEF Reporting Manual v4.0 (2024).</w:t>
      </w:r>
    </w:p>
    <w:p>
      <w:pPr>
        <w:pStyle w:val="ListBullet"/>
      </w:pPr>
      <w:r>
        <w:rPr>
          <w:sz w:val="19"/>
        </w:rPr>
        <w:t>ESMA32-63-1648: Supervisory Activities on ESEF (2023).</w:t>
      </w:r>
    </w:p>
    <w:p>
      <w:pPr>
        <w:pStyle w:val="ListBullet"/>
      </w:pPr>
      <w:r>
        <w:rPr>
          <w:sz w:val="19"/>
        </w:rPr>
        <w:t>ESMA32-382-1512: Assessment of the OAM Network (2022).</w:t>
      </w:r>
    </w:p>
    <w:p>
      <w:pPr>
        <w:spacing w:before="160" w:after="60"/>
      </w:pPr>
      <w:r>
        <w:rPr>
          <w:b/>
          <w:color w:val="334D6E"/>
          <w:sz w:val="22"/>
        </w:rPr>
        <w:t>EFRAG</w:t>
      </w:r>
    </w:p>
    <w:p>
      <w:pPr>
        <w:pStyle w:val="ListBullet"/>
      </w:pPr>
      <w:r>
        <w:rPr>
          <w:sz w:val="19"/>
        </w:rPr>
        <w:t>EFRAG: ESRS Set 1 — Final Standards (julio 2023).</w:t>
      </w:r>
    </w:p>
    <w:p>
      <w:pPr>
        <w:pStyle w:val="ListBullet"/>
      </w:pPr>
      <w:r>
        <w:rPr>
          <w:sz w:val="19"/>
        </w:rPr>
        <w:t>EFRAG: ESRS VSME — Exposure Draft (enero 2024).</w:t>
      </w:r>
    </w:p>
    <w:p>
      <w:pPr>
        <w:spacing w:before="160" w:after="60"/>
      </w:pPr>
      <w:r>
        <w:rPr>
          <w:b/>
          <w:color w:val="334D6E"/>
          <w:sz w:val="22"/>
        </w:rPr>
        <w:t>Literatura académica</w:t>
      </w:r>
    </w:p>
    <w:p>
      <w:pPr>
        <w:pStyle w:val="ListBullet"/>
      </w:pPr>
      <w:r>
        <w:rPr>
          <w:sz w:val="19"/>
        </w:rPr>
        <w:t>Gutierrez et al. (2021): 'KAM vs CAM: A Comparative Analysis', Auditing: A Journal of Practice &amp; Theory, 40(3).</w:t>
      </w:r>
    </w:p>
    <w:p>
      <w:pPr>
        <w:pStyle w:val="ListBullet"/>
      </w:pPr>
      <w:r>
        <w:rPr>
          <w:sz w:val="19"/>
        </w:rPr>
        <w:t>Porter (1993): 'An Empirical Study of the Audit Expectation-Performance Gap', Accounting and Business Research, 24(93).</w:t>
      </w:r>
    </w:p>
    <w:p>
      <w:pPr>
        <w:pStyle w:val="ListBullet"/>
      </w:pPr>
      <w:r>
        <w:rPr>
          <w:sz w:val="19"/>
        </w:rPr>
        <w:t>Loughran &amp; McDonald (2011): 'When is a Liability not a Liability?', JoF, 66(1).</w:t>
      </w:r>
    </w:p>
    <w:p>
      <w:pPr>
        <w:pStyle w:val="ListBullet"/>
      </w:pPr>
      <w:r>
        <w:rPr>
          <w:sz w:val="19"/>
        </w:rPr>
        <w:t>Conneau et al. (2020): 'Unsupervised Cross-lingual Representation Learning at Scale', ACL 2020.</w:t>
      </w:r>
    </w:p>
    <w:p>
      <w:pPr>
        <w:pStyle w:val="ListBullet"/>
      </w:pPr>
      <w:r>
        <w:rPr>
          <w:sz w:val="19"/>
        </w:rPr>
        <w:t>Devlin et al. (2019): 'BERT: Pre-training of Deep Bidirectional Transformers', NAACL 2019.</w:t>
      </w:r>
    </w:p>
    <w:p>
      <w:pPr>
        <w:spacing w:before="160" w:after="60"/>
      </w:pPr>
      <w:r>
        <w:rPr>
          <w:b/>
          <w:color w:val="334D6E"/>
          <w:sz w:val="22"/>
        </w:rPr>
        <w:t>Fuentes institucionales locales</w:t>
      </w:r>
    </w:p>
    <w:p>
      <w:pPr>
        <w:pStyle w:val="ListBullet"/>
      </w:pPr>
      <w:r>
        <w:rPr>
          <w:sz w:val="19"/>
        </w:rPr>
        <w:t>CNMV: Informes anuales de gobierno corporativo 2019-2023 (cnmv.es).</w:t>
      </w:r>
    </w:p>
    <w:p>
      <w:pPr>
        <w:pStyle w:val="ListBullet"/>
      </w:pPr>
      <w:r>
        <w:rPr>
          <w:sz w:val="19"/>
        </w:rPr>
        <w:t>ICAC: Informes de calidad de la auditoría 2022-2023 (icac.gob.es).</w:t>
      </w:r>
    </w:p>
    <w:p>
      <w:pPr>
        <w:pStyle w:val="ListBullet"/>
      </w:pPr>
      <w:r>
        <w:rPr>
          <w:sz w:val="19"/>
        </w:rPr>
        <w:t>ICJCE: Guía de aplicación ISSA 5000 en España — borrador 2024 (icjce.es).</w:t>
      </w:r>
    </w:p>
    <w:p>
      <w:r>
        <w:br w:type="page"/>
      </w:r>
    </w:p>
    <w:p>
      <w:pPr>
        <w:spacing w:before="360" w:after="80"/>
      </w:pPr>
      <w:r>
        <w:rPr>
          <w:b/>
          <w:color w:val="0F2955"/>
          <w:sz w:val="28"/>
        </w:rPr>
        <w:t>ANEXO A — TABLA DE FUENTES OFICIALES Y ACCESO</w:t>
      </w:r>
    </w:p>
    <w:p>
      <w:pPr>
        <w:spacing w:after="120"/>
      </w:pPr>
      <w:r>
        <w:rPr>
          <w:color w:val="02629B"/>
          <w:sz w:val="16"/>
        </w:rPr>
        <w:t>_______________________________________________________________________________________________</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val="clear" w:color="auto" w:fill="1e3a5f"/>
          </w:tcPr>
          <w:p>
            <w:r>
              <w:rPr>
                <w:b/>
                <w:color w:val="FFFFFF"/>
                <w:sz w:val="17"/>
              </w:rPr>
              <w:t>Organismo</w:t>
            </w:r>
          </w:p>
        </w:tc>
        <w:tc>
          <w:tcPr>
            <w:tcW w:type="dxa" w:w="1824"/>
            <w:shd w:val="clear" w:color="auto" w:fill="1e3a5f"/>
          </w:tcPr>
          <w:p>
            <w:r>
              <w:rPr>
                <w:b/>
                <w:color w:val="FFFFFF"/>
                <w:sz w:val="17"/>
              </w:rPr>
              <w:t>País/Ámbito</w:t>
            </w:r>
          </w:p>
        </w:tc>
        <w:tc>
          <w:tcPr>
            <w:tcW w:type="dxa" w:w="1824"/>
            <w:shd w:val="clear" w:color="auto" w:fill="1e3a5f"/>
          </w:tcPr>
          <w:p>
            <w:r>
              <w:rPr>
                <w:b/>
                <w:color w:val="FFFFFF"/>
                <w:sz w:val="17"/>
              </w:rPr>
              <w:t>Tipo de dato</w:t>
            </w:r>
          </w:p>
        </w:tc>
        <w:tc>
          <w:tcPr>
            <w:tcW w:type="dxa" w:w="1824"/>
            <w:shd w:val="clear" w:color="auto" w:fill="1e3a5f"/>
          </w:tcPr>
          <w:p>
            <w:r>
              <w:rPr>
                <w:b/>
                <w:color w:val="FFFFFF"/>
                <w:sz w:val="17"/>
              </w:rPr>
              <w:t>Acceso</w:t>
            </w:r>
          </w:p>
        </w:tc>
        <w:tc>
          <w:tcPr>
            <w:tcW w:type="dxa" w:w="1824"/>
            <w:shd w:val="clear" w:color="auto" w:fill="1e3a5f"/>
          </w:tcPr>
          <w:p>
            <w:r>
              <w:rPr>
                <w:b/>
                <w:color w:val="FFFFFF"/>
                <w:sz w:val="17"/>
              </w:rPr>
              <w:t>URL</w:t>
            </w:r>
          </w:p>
        </w:tc>
      </w:tr>
      <w:tr>
        <w:tc>
          <w:tcPr>
            <w:tcW w:type="dxa" w:w="1824"/>
          </w:tcPr>
          <w:p>
            <w:r>
              <w:rPr>
                <w:sz w:val="17"/>
              </w:rPr>
              <w:t>CNMV</w:t>
            </w:r>
          </w:p>
        </w:tc>
        <w:tc>
          <w:tcPr>
            <w:tcW w:type="dxa" w:w="1824"/>
          </w:tcPr>
          <w:p>
            <w:r>
              <w:rPr>
                <w:sz w:val="17"/>
              </w:rPr>
              <w:t>España</w:t>
            </w:r>
          </w:p>
        </w:tc>
        <w:tc>
          <w:tcPr>
            <w:tcW w:type="dxa" w:w="1824"/>
          </w:tcPr>
          <w:p>
            <w:r>
              <w:rPr>
                <w:sz w:val="17"/>
              </w:rPr>
              <w:t>ESEF, HM, KAMs, IAGC</w:t>
            </w:r>
          </w:p>
        </w:tc>
        <w:tc>
          <w:tcPr>
            <w:tcW w:type="dxa" w:w="1824"/>
          </w:tcPr>
          <w:p>
            <w:r>
              <w:rPr>
                <w:sz w:val="17"/>
              </w:rPr>
              <w:t>Público (web)</w:t>
            </w:r>
          </w:p>
        </w:tc>
        <w:tc>
          <w:tcPr>
            <w:tcW w:type="dxa" w:w="1824"/>
          </w:tcPr>
          <w:p>
            <w:r>
              <w:rPr>
                <w:sz w:val="17"/>
              </w:rPr>
              <w:t>cnmv.es</w:t>
            </w:r>
          </w:p>
        </w:tc>
      </w:tr>
      <w:tr>
        <w:tc>
          <w:tcPr>
            <w:tcW w:type="dxa" w:w="1824"/>
          </w:tcPr>
          <w:p>
            <w:r>
              <w:rPr>
                <w:sz w:val="17"/>
              </w:rPr>
              <w:t>AMF / OAM</w:t>
            </w:r>
          </w:p>
        </w:tc>
        <w:tc>
          <w:tcPr>
            <w:tcW w:type="dxa" w:w="1824"/>
          </w:tcPr>
          <w:p>
            <w:r>
              <w:rPr>
                <w:sz w:val="17"/>
              </w:rPr>
              <w:t>Francia</w:t>
            </w:r>
          </w:p>
        </w:tc>
        <w:tc>
          <w:tcPr>
            <w:tcW w:type="dxa" w:w="1824"/>
          </w:tcPr>
          <w:p>
            <w:r>
              <w:rPr>
                <w:sz w:val="17"/>
              </w:rPr>
              <w:t>ESEF, Informes anuales</w:t>
            </w:r>
          </w:p>
        </w:tc>
        <w:tc>
          <w:tcPr>
            <w:tcW w:type="dxa" w:w="1824"/>
          </w:tcPr>
          <w:p>
            <w:r>
              <w:rPr>
                <w:sz w:val="17"/>
              </w:rPr>
              <w:t>Público (web)</w:t>
            </w:r>
          </w:p>
        </w:tc>
        <w:tc>
          <w:tcPr>
            <w:tcW w:type="dxa" w:w="1824"/>
          </w:tcPr>
          <w:p>
            <w:r>
              <w:rPr>
                <w:sz w:val="17"/>
              </w:rPr>
              <w:t>amf-france.org</w:t>
            </w:r>
          </w:p>
        </w:tc>
      </w:tr>
      <w:tr>
        <w:tc>
          <w:tcPr>
            <w:tcW w:type="dxa" w:w="1824"/>
          </w:tcPr>
          <w:p>
            <w:r>
              <w:rPr>
                <w:sz w:val="17"/>
              </w:rPr>
              <w:t>Unternehmensregister</w:t>
            </w:r>
          </w:p>
        </w:tc>
        <w:tc>
          <w:tcPr>
            <w:tcW w:type="dxa" w:w="1824"/>
          </w:tcPr>
          <w:p>
            <w:r>
              <w:rPr>
                <w:sz w:val="17"/>
              </w:rPr>
              <w:t>Alemania</w:t>
            </w:r>
          </w:p>
        </w:tc>
        <w:tc>
          <w:tcPr>
            <w:tcW w:type="dxa" w:w="1824"/>
          </w:tcPr>
          <w:p>
            <w:r>
              <w:rPr>
                <w:sz w:val="17"/>
              </w:rPr>
              <w:t>Cuentas anuales, ESEF</w:t>
            </w:r>
          </w:p>
        </w:tc>
        <w:tc>
          <w:tcPr>
            <w:tcW w:type="dxa" w:w="1824"/>
          </w:tcPr>
          <w:p>
            <w:r>
              <w:rPr>
                <w:sz w:val="17"/>
              </w:rPr>
              <w:t>Público (web)</w:t>
            </w:r>
          </w:p>
        </w:tc>
        <w:tc>
          <w:tcPr>
            <w:tcW w:type="dxa" w:w="1824"/>
          </w:tcPr>
          <w:p>
            <w:r>
              <w:rPr>
                <w:sz w:val="17"/>
              </w:rPr>
              <w:t>unternehmensregister.de</w:t>
            </w:r>
          </w:p>
        </w:tc>
      </w:tr>
      <w:tr>
        <w:tc>
          <w:tcPr>
            <w:tcW w:type="dxa" w:w="1824"/>
          </w:tcPr>
          <w:p>
            <w:r>
              <w:rPr>
                <w:sz w:val="17"/>
              </w:rPr>
              <w:t>CONSOB / 1INFO</w:t>
            </w:r>
          </w:p>
        </w:tc>
        <w:tc>
          <w:tcPr>
            <w:tcW w:type="dxa" w:w="1824"/>
          </w:tcPr>
          <w:p>
            <w:r>
              <w:rPr>
                <w:sz w:val="17"/>
              </w:rPr>
              <w:t>Italia</w:t>
            </w:r>
          </w:p>
        </w:tc>
        <w:tc>
          <w:tcPr>
            <w:tcW w:type="dxa" w:w="1824"/>
          </w:tcPr>
          <w:p>
            <w:r>
              <w:rPr>
                <w:sz w:val="17"/>
              </w:rPr>
              <w:t>Informes regulados, ESEF</w:t>
            </w:r>
          </w:p>
        </w:tc>
        <w:tc>
          <w:tcPr>
            <w:tcW w:type="dxa" w:w="1824"/>
          </w:tcPr>
          <w:p>
            <w:r>
              <w:rPr>
                <w:sz w:val="17"/>
              </w:rPr>
              <w:t>Público (web)</w:t>
            </w:r>
          </w:p>
        </w:tc>
        <w:tc>
          <w:tcPr>
            <w:tcW w:type="dxa" w:w="1824"/>
          </w:tcPr>
          <w:p>
            <w:r>
              <w:rPr>
                <w:sz w:val="17"/>
              </w:rPr>
              <w:t>1info.it</w:t>
            </w:r>
          </w:p>
        </w:tc>
      </w:tr>
      <w:tr>
        <w:tc>
          <w:tcPr>
            <w:tcW w:type="dxa" w:w="1824"/>
          </w:tcPr>
          <w:p>
            <w:r>
              <w:rPr>
                <w:sz w:val="17"/>
              </w:rPr>
              <w:t>AFM</w:t>
            </w:r>
          </w:p>
        </w:tc>
        <w:tc>
          <w:tcPr>
            <w:tcW w:type="dxa" w:w="1824"/>
          </w:tcPr>
          <w:p>
            <w:r>
              <w:rPr>
                <w:sz w:val="17"/>
              </w:rPr>
              <w:t>Países Bajos</w:t>
            </w:r>
          </w:p>
        </w:tc>
        <w:tc>
          <w:tcPr>
            <w:tcW w:type="dxa" w:w="1824"/>
          </w:tcPr>
          <w:p>
            <w:r>
              <w:rPr>
                <w:sz w:val="17"/>
              </w:rPr>
              <w:t>ESEF, informes</w:t>
            </w:r>
          </w:p>
        </w:tc>
        <w:tc>
          <w:tcPr>
            <w:tcW w:type="dxa" w:w="1824"/>
          </w:tcPr>
          <w:p>
            <w:r>
              <w:rPr>
                <w:sz w:val="17"/>
              </w:rPr>
              <w:t>Público (web)</w:t>
            </w:r>
          </w:p>
        </w:tc>
        <w:tc>
          <w:tcPr>
            <w:tcW w:type="dxa" w:w="1824"/>
          </w:tcPr>
          <w:p>
            <w:r>
              <w:rPr>
                <w:sz w:val="17"/>
              </w:rPr>
              <w:t>afm.nl</w:t>
            </w:r>
          </w:p>
        </w:tc>
      </w:tr>
      <w:tr>
        <w:tc>
          <w:tcPr>
            <w:tcW w:type="dxa" w:w="1824"/>
          </w:tcPr>
          <w:p>
            <w:r>
              <w:rPr>
                <w:sz w:val="17"/>
              </w:rPr>
              <w:t>ESMA</w:t>
            </w:r>
          </w:p>
        </w:tc>
        <w:tc>
          <w:tcPr>
            <w:tcW w:type="dxa" w:w="1824"/>
          </w:tcPr>
          <w:p>
            <w:r>
              <w:rPr>
                <w:sz w:val="17"/>
              </w:rPr>
              <w:t>UE</w:t>
            </w:r>
          </w:p>
        </w:tc>
        <w:tc>
          <w:tcPr>
            <w:tcW w:type="dxa" w:w="1824"/>
          </w:tcPr>
          <w:p>
            <w:r>
              <w:rPr>
                <w:sz w:val="17"/>
              </w:rPr>
              <w:t>ESEF taxonomy, guías</w:t>
            </w:r>
          </w:p>
        </w:tc>
        <w:tc>
          <w:tcPr>
            <w:tcW w:type="dxa" w:w="1824"/>
          </w:tcPr>
          <w:p>
            <w:r>
              <w:rPr>
                <w:sz w:val="17"/>
              </w:rPr>
              <w:t>Público (descarga)</w:t>
            </w:r>
          </w:p>
        </w:tc>
        <w:tc>
          <w:tcPr>
            <w:tcW w:type="dxa" w:w="1824"/>
          </w:tcPr>
          <w:p>
            <w:r>
              <w:rPr>
                <w:sz w:val="17"/>
              </w:rPr>
              <w:t>esma.europa.eu</w:t>
            </w:r>
          </w:p>
        </w:tc>
      </w:tr>
      <w:tr>
        <w:tc>
          <w:tcPr>
            <w:tcW w:type="dxa" w:w="1824"/>
          </w:tcPr>
          <w:p>
            <w:r>
              <w:rPr>
                <w:sz w:val="17"/>
              </w:rPr>
              <w:t>ESAP</w:t>
            </w:r>
          </w:p>
        </w:tc>
        <w:tc>
          <w:tcPr>
            <w:tcW w:type="dxa" w:w="1824"/>
          </w:tcPr>
          <w:p>
            <w:r>
              <w:rPr>
                <w:sz w:val="17"/>
              </w:rPr>
              <w:t>UE</w:t>
            </w:r>
          </w:p>
        </w:tc>
        <w:tc>
          <w:tcPr>
            <w:tcW w:type="dxa" w:w="1824"/>
          </w:tcPr>
          <w:p>
            <w:r>
              <w:rPr>
                <w:sz w:val="17"/>
              </w:rPr>
              <w:t>Hub centralizado (2027)</w:t>
            </w:r>
          </w:p>
        </w:tc>
        <w:tc>
          <w:tcPr>
            <w:tcW w:type="dxa" w:w="1824"/>
          </w:tcPr>
          <w:p>
            <w:r>
              <w:rPr>
                <w:sz w:val="17"/>
              </w:rPr>
              <w:t>Público desde 2027</w:t>
            </w:r>
          </w:p>
        </w:tc>
        <w:tc>
          <w:tcPr>
            <w:tcW w:type="dxa" w:w="1824"/>
          </w:tcPr>
          <w:p>
            <w:r>
              <w:rPr>
                <w:sz w:val="17"/>
              </w:rPr>
              <w:t>esap.europa.eu</w:t>
            </w:r>
          </w:p>
        </w:tc>
      </w:tr>
      <w:tr>
        <w:tc>
          <w:tcPr>
            <w:tcW w:type="dxa" w:w="1824"/>
          </w:tcPr>
          <w:p>
            <w:r>
              <w:rPr>
                <w:sz w:val="17"/>
              </w:rPr>
              <w:t>GLEIF</w:t>
            </w:r>
          </w:p>
        </w:tc>
        <w:tc>
          <w:tcPr>
            <w:tcW w:type="dxa" w:w="1824"/>
          </w:tcPr>
          <w:p>
            <w:r>
              <w:rPr>
                <w:sz w:val="17"/>
              </w:rPr>
              <w:t>Global</w:t>
            </w:r>
          </w:p>
        </w:tc>
        <w:tc>
          <w:tcPr>
            <w:tcW w:type="dxa" w:w="1824"/>
          </w:tcPr>
          <w:p>
            <w:r>
              <w:rPr>
                <w:sz w:val="17"/>
              </w:rPr>
              <w:t>LEI — identificadores</w:t>
            </w:r>
          </w:p>
        </w:tc>
        <w:tc>
          <w:tcPr>
            <w:tcW w:type="dxa" w:w="1824"/>
          </w:tcPr>
          <w:p>
            <w:r>
              <w:rPr>
                <w:sz w:val="17"/>
              </w:rPr>
              <w:t>Público CC-BY 4.0</w:t>
            </w:r>
          </w:p>
        </w:tc>
        <w:tc>
          <w:tcPr>
            <w:tcW w:type="dxa" w:w="1824"/>
          </w:tcPr>
          <w:p>
            <w:r>
              <w:rPr>
                <w:sz w:val="17"/>
              </w:rPr>
              <w:t>gleif.org</w:t>
            </w:r>
          </w:p>
        </w:tc>
      </w:tr>
      <w:tr>
        <w:tc>
          <w:tcPr>
            <w:tcW w:type="dxa" w:w="1824"/>
          </w:tcPr>
          <w:p>
            <w:r>
              <w:rPr>
                <w:sz w:val="17"/>
              </w:rPr>
              <w:t>SEC EDGAR</w:t>
            </w:r>
          </w:p>
        </w:tc>
        <w:tc>
          <w:tcPr>
            <w:tcW w:type="dxa" w:w="1824"/>
          </w:tcPr>
          <w:p>
            <w:r>
              <w:rPr>
                <w:sz w:val="17"/>
              </w:rPr>
              <w:t>EE.UU.</w:t>
            </w:r>
          </w:p>
        </w:tc>
        <w:tc>
          <w:tcPr>
            <w:tcW w:type="dxa" w:w="1824"/>
          </w:tcPr>
          <w:p>
            <w:r>
              <w:rPr>
                <w:sz w:val="17"/>
              </w:rPr>
              <w:t>10-K, CAMs, API REST</w:t>
            </w:r>
          </w:p>
        </w:tc>
        <w:tc>
          <w:tcPr>
            <w:tcW w:type="dxa" w:w="1824"/>
          </w:tcPr>
          <w:p>
            <w:r>
              <w:rPr>
                <w:sz w:val="17"/>
              </w:rPr>
              <w:t>Público y API abierta</w:t>
            </w:r>
          </w:p>
        </w:tc>
        <w:tc>
          <w:tcPr>
            <w:tcW w:type="dxa" w:w="1824"/>
          </w:tcPr>
          <w:p>
            <w:r>
              <w:rPr>
                <w:sz w:val="17"/>
              </w:rPr>
              <w:t>data.sec.gov</w:t>
            </w:r>
          </w:p>
        </w:tc>
      </w:tr>
      <w:tr>
        <w:tc>
          <w:tcPr>
            <w:tcW w:type="dxa" w:w="1824"/>
          </w:tcPr>
          <w:p>
            <w:r>
              <w:rPr>
                <w:sz w:val="17"/>
              </w:rPr>
              <w:t>XBRL.org filings</w:t>
            </w:r>
          </w:p>
        </w:tc>
        <w:tc>
          <w:tcPr>
            <w:tcW w:type="dxa" w:w="1824"/>
          </w:tcPr>
          <w:p>
            <w:r>
              <w:rPr>
                <w:sz w:val="17"/>
              </w:rPr>
              <w:t>Global</w:t>
            </w:r>
          </w:p>
        </w:tc>
        <w:tc>
          <w:tcPr>
            <w:tcW w:type="dxa" w:w="1824"/>
          </w:tcPr>
          <w:p>
            <w:r>
              <w:rPr>
                <w:sz w:val="17"/>
              </w:rPr>
              <w:t>Ficheros iXBRL</w:t>
            </w:r>
          </w:p>
        </w:tc>
        <w:tc>
          <w:tcPr>
            <w:tcW w:type="dxa" w:w="1824"/>
          </w:tcPr>
          <w:p>
            <w:r>
              <w:rPr>
                <w:sz w:val="17"/>
              </w:rPr>
              <w:t>Público (descarga)</w:t>
            </w:r>
          </w:p>
        </w:tc>
        <w:tc>
          <w:tcPr>
            <w:tcW w:type="dxa" w:w="1824"/>
          </w:tcPr>
          <w:p>
            <w:r>
              <w:rPr>
                <w:sz w:val="17"/>
              </w:rPr>
              <w:t>filings.xbrl.org</w:t>
            </w:r>
          </w:p>
        </w:tc>
      </w:tr>
      <w:tr>
        <w:tc>
          <w:tcPr>
            <w:tcW w:type="dxa" w:w="1824"/>
          </w:tcPr>
          <w:p>
            <w:r>
              <w:rPr>
                <w:sz w:val="17"/>
              </w:rPr>
              <w:t>EUR-Lex</w:t>
            </w:r>
          </w:p>
        </w:tc>
        <w:tc>
          <w:tcPr>
            <w:tcW w:type="dxa" w:w="1824"/>
          </w:tcPr>
          <w:p>
            <w:r>
              <w:rPr>
                <w:sz w:val="17"/>
              </w:rPr>
              <w:t>UE</w:t>
            </w:r>
          </w:p>
        </w:tc>
        <w:tc>
          <w:tcPr>
            <w:tcW w:type="dxa" w:w="1824"/>
          </w:tcPr>
          <w:p>
            <w:r>
              <w:rPr>
                <w:sz w:val="17"/>
              </w:rPr>
              <w:t>Normativa oficial UE</w:t>
            </w:r>
          </w:p>
        </w:tc>
        <w:tc>
          <w:tcPr>
            <w:tcW w:type="dxa" w:w="1824"/>
          </w:tcPr>
          <w:p>
            <w:r>
              <w:rPr>
                <w:sz w:val="17"/>
              </w:rPr>
              <w:t>Público CC-BY</w:t>
            </w:r>
          </w:p>
        </w:tc>
        <w:tc>
          <w:tcPr>
            <w:tcW w:type="dxa" w:w="1824"/>
          </w:tcPr>
          <w:p>
            <w:r>
              <w:rPr>
                <w:sz w:val="17"/>
              </w:rPr>
              <w:t>eur-lex.europa.eu</w:t>
            </w:r>
          </w:p>
        </w:tc>
      </w:tr>
      <w:tr>
        <w:tc>
          <w:tcPr>
            <w:tcW w:type="dxa" w:w="1824"/>
          </w:tcPr>
          <w:p>
            <w:r>
              <w:rPr>
                <w:sz w:val="17"/>
              </w:rPr>
              <w:t>ICAC</w:t>
            </w:r>
          </w:p>
        </w:tc>
        <w:tc>
          <w:tcPr>
            <w:tcW w:type="dxa" w:w="1824"/>
          </w:tcPr>
          <w:p>
            <w:r>
              <w:rPr>
                <w:sz w:val="17"/>
              </w:rPr>
              <w:t>España</w:t>
            </w:r>
          </w:p>
        </w:tc>
        <w:tc>
          <w:tcPr>
            <w:tcW w:type="dxa" w:w="1824"/>
          </w:tcPr>
          <w:p>
            <w:r>
              <w:rPr>
                <w:sz w:val="17"/>
              </w:rPr>
              <w:t>PGC, normas auditoría</w:t>
            </w:r>
          </w:p>
        </w:tc>
        <w:tc>
          <w:tcPr>
            <w:tcW w:type="dxa" w:w="1824"/>
          </w:tcPr>
          <w:p>
            <w:r>
              <w:rPr>
                <w:sz w:val="17"/>
              </w:rPr>
              <w:t>Público</w:t>
            </w:r>
          </w:p>
        </w:tc>
        <w:tc>
          <w:tcPr>
            <w:tcW w:type="dxa" w:w="1824"/>
          </w:tcPr>
          <w:p>
            <w:r>
              <w:rPr>
                <w:sz w:val="17"/>
              </w:rPr>
              <w:t>icac.gob.es</w:t>
            </w:r>
          </w:p>
        </w:tc>
      </w:tr>
    </w:tbl>
    <w:p/>
    <w:p>
      <w:r>
        <w:br w:type="page"/>
      </w:r>
    </w:p>
    <w:p>
      <w:pPr>
        <w:spacing w:before="360" w:after="80"/>
      </w:pPr>
      <w:r>
        <w:rPr>
          <w:b/>
          <w:color w:val="0F2955"/>
          <w:sz w:val="28"/>
        </w:rPr>
        <w:t>ANEXO B — GLOSARIO TÉCNICO</w:t>
      </w:r>
    </w:p>
    <w:p>
      <w:pPr>
        <w:spacing w:after="120"/>
      </w:pPr>
      <w:r>
        <w:rPr>
          <w:color w:val="02629B"/>
          <w:sz w:val="16"/>
        </w:rPr>
        <w:t>_______________________________________________________________________________________________</w:t>
      </w:r>
    </w:p>
    <w:p>
      <w:pPr>
        <w:spacing w:after="80"/>
      </w:pPr>
      <w:r>
        <w:rPr>
          <w:b/>
          <w:color w:val="02629B"/>
          <w:sz w:val="20"/>
        </w:rPr>
        <w:t xml:space="preserve">CSRD: </w:t>
      </w:r>
      <w:r>
        <w:rPr>
          <w:sz w:val="20"/>
        </w:rPr>
        <w:t>Corporate Sustainability Reporting Directive (Directiva UE 2022/2464). Norma que amplía el reporte de sostenibilidad a ~50.000 empresas en la UE.</w:t>
      </w:r>
    </w:p>
    <w:p>
      <w:pPr>
        <w:spacing w:after="80"/>
      </w:pPr>
      <w:r>
        <w:rPr>
          <w:b/>
          <w:color w:val="02629B"/>
          <w:sz w:val="20"/>
        </w:rPr>
        <w:t xml:space="preserve">ESEF: </w:t>
      </w:r>
      <w:r>
        <w:rPr>
          <w:sz w:val="20"/>
        </w:rPr>
        <w:t>European Single Electronic Format. Formato iXBRL obligatorio para informes financieros anuales de cotizadas en mercados regulados europeos (desde EJ 2021).</w:t>
      </w:r>
    </w:p>
    <w:p>
      <w:pPr>
        <w:spacing w:after="80"/>
      </w:pPr>
      <w:r>
        <w:rPr>
          <w:b/>
          <w:color w:val="02629B"/>
          <w:sz w:val="20"/>
        </w:rPr>
        <w:t xml:space="preserve">ESAP: </w:t>
      </w:r>
      <w:r>
        <w:rPr>
          <w:sz w:val="20"/>
        </w:rPr>
        <w:t>European Single Access Point. Portal centralizado de información regulada gestionado por ESMA (operativo 2027, Reg. UE 2023/2859).</w:t>
      </w:r>
    </w:p>
    <w:p>
      <w:pPr>
        <w:spacing w:after="80"/>
      </w:pPr>
      <w:r>
        <w:rPr>
          <w:b/>
          <w:color w:val="02629B"/>
          <w:sz w:val="20"/>
        </w:rPr>
        <w:t xml:space="preserve">ESRS: </w:t>
      </w:r>
      <w:r>
        <w:rPr>
          <w:sz w:val="20"/>
        </w:rPr>
        <w:t>European Sustainability Reporting Standards. 12 estándares técnicos de reporte de sostenibilidad bajo la CSRD.</w:t>
      </w:r>
    </w:p>
    <w:p>
      <w:pPr>
        <w:spacing w:after="80"/>
      </w:pPr>
      <w:r>
        <w:rPr>
          <w:b/>
          <w:color w:val="02629B"/>
          <w:sz w:val="20"/>
        </w:rPr>
        <w:t xml:space="preserve">iXBRL: </w:t>
      </w:r>
      <w:r>
        <w:rPr>
          <w:sz w:val="20"/>
        </w:rPr>
        <w:t>Inline eXtensible Business Reporting Language. Formato que combina HTML legible con etiquetas XBRL procesables por máquina.</w:t>
      </w:r>
    </w:p>
    <w:p>
      <w:pPr>
        <w:spacing w:after="80"/>
      </w:pPr>
      <w:r>
        <w:rPr>
          <w:b/>
          <w:color w:val="02629B"/>
          <w:sz w:val="20"/>
        </w:rPr>
        <w:t xml:space="preserve">ISSA 5000: </w:t>
      </w:r>
      <w:r>
        <w:rPr>
          <w:sz w:val="20"/>
        </w:rPr>
        <w:t>International Standard on Sustainability Assurance 5000. Primera norma global de aseguramiento de sostenibilidad (IAASB, septiembre 2024).</w:t>
      </w:r>
    </w:p>
    <w:p>
      <w:pPr>
        <w:spacing w:after="80"/>
      </w:pPr>
      <w:r>
        <w:rPr>
          <w:b/>
          <w:color w:val="02629B"/>
          <w:sz w:val="20"/>
        </w:rPr>
        <w:t xml:space="preserve">KAM: </w:t>
      </w:r>
      <w:r>
        <w:rPr>
          <w:sz w:val="20"/>
        </w:rPr>
        <w:t>Key Audit Matter (Cuestión Clave de Auditoría). Asunto de especial relevancia comunicado en el informe del auditor según ISA 701 / NIA-ES 701.</w:t>
      </w:r>
    </w:p>
    <w:p>
      <w:pPr>
        <w:spacing w:after="80"/>
      </w:pPr>
      <w:r>
        <w:rPr>
          <w:b/>
          <w:color w:val="02629B"/>
          <w:sz w:val="20"/>
        </w:rPr>
        <w:t xml:space="preserve">LEI: </w:t>
      </w:r>
      <w:r>
        <w:rPr>
          <w:sz w:val="20"/>
        </w:rPr>
        <w:t>Legal Entity Identifier. Código de 20 caracteres que identifica unívocamente a las personas jurídicas en transacciones financieras (gestionado por GLEIF).</w:t>
      </w:r>
    </w:p>
    <w:p>
      <w:pPr>
        <w:spacing w:after="80"/>
      </w:pPr>
      <w:r>
        <w:rPr>
          <w:b/>
          <w:color w:val="02629B"/>
          <w:sz w:val="20"/>
        </w:rPr>
        <w:t xml:space="preserve">NLP: </w:t>
      </w:r>
      <w:r>
        <w:rPr>
          <w:sz w:val="20"/>
        </w:rPr>
        <w:t>Natural Language Processing. Rama de la IA que permite al software analizar, comprender y generar lenguaje humano.</w:t>
      </w:r>
    </w:p>
    <w:p>
      <w:pPr>
        <w:spacing w:after="80"/>
      </w:pPr>
      <w:r>
        <w:rPr>
          <w:b/>
          <w:color w:val="02629B"/>
          <w:sz w:val="20"/>
        </w:rPr>
        <w:t xml:space="preserve">OAM: </w:t>
      </w:r>
      <w:r>
        <w:rPr>
          <w:sz w:val="20"/>
        </w:rPr>
        <w:t>Officially Appointed Mechanism. Organismo de almacenamiento designado por cada Estado miembro para custodiar la información regulada de cotizadas.</w:t>
      </w:r>
    </w:p>
    <w:p>
      <w:pPr>
        <w:spacing w:after="80"/>
      </w:pPr>
      <w:r>
        <w:rPr>
          <w:b/>
          <w:color w:val="02629B"/>
          <w:sz w:val="20"/>
        </w:rPr>
        <w:t xml:space="preserve">SHA-256: </w:t>
      </w:r>
      <w:r>
        <w:rPr>
          <w:sz w:val="20"/>
        </w:rPr>
        <w:t>Secure Hash Algorithm 256 bits. Función criptográfica que genera una huella digital única de cualquier archivo. Garantiza integridad y cadena de custodia técnica, NO verdad sustantiva.</w:t>
      </w:r>
    </w:p>
    <w:p>
      <w:pPr>
        <w:spacing w:after="80"/>
      </w:pPr>
      <w:r>
        <w:rPr>
          <w:b/>
          <w:color w:val="02629B"/>
          <w:sz w:val="20"/>
        </w:rPr>
        <w:t xml:space="preserve">Greenwashing cuantitativo: </w:t>
      </w:r>
      <w:r>
        <w:rPr>
          <w:sz w:val="20"/>
        </w:rPr>
        <w:t>Inconsistencia verificable entre compromisos de sostenibilidad declarados y datos cuantitativos reales de emisiones, agua o residuos.</w:t>
      </w:r>
    </w:p>
    <w:p>
      <w:pPr>
        <w:spacing w:after="80"/>
      </w:pPr>
      <w:r>
        <w:rPr>
          <w:b/>
          <w:color w:val="02629B"/>
          <w:sz w:val="20"/>
        </w:rPr>
        <w:t xml:space="preserve">Trazabilidad forense: </w:t>
      </w:r>
      <w:r>
        <w:rPr>
          <w:sz w:val="20"/>
        </w:rPr>
        <w:t>Capacidad de reconstruir, paso a paso y de forma verificable, el camino desde la fuente documental original hasta el dato publicado en la plataforma.</w:t>
      </w:r>
    </w:p>
    <w:p>
      <w:pPr>
        <w:spacing w:after="80"/>
      </w:pPr>
      <w:r>
        <w:rPr>
          <w:b/>
          <w:color w:val="02629B"/>
          <w:sz w:val="20"/>
        </w:rPr>
        <w:t xml:space="preserve">Doble materialidad: </w:t>
      </w:r>
      <w:r>
        <w:rPr>
          <w:sz w:val="20"/>
        </w:rPr>
        <w:t>Principio CSRD: la empresa reporta el impacto de la sostenibilidad en sus finanzas (outside-in) y su impacto en el entorno (inside-out).</w:t>
      </w:r>
    </w:p>
    <w:p>
      <w:pPr>
        <w:spacing w:after="80"/>
      </w:pPr>
      <w:r>
        <w:rPr>
          <w:b/>
          <w:color w:val="02629B"/>
          <w:sz w:val="20"/>
        </w:rPr>
        <w:t xml:space="preserve">Audit Expectation Gap: </w:t>
      </w:r>
      <w:r>
        <w:rPr>
          <w:sz w:val="20"/>
        </w:rPr>
        <w:t>Brecha entre lo que los usuarios esperan de la auditoría y lo que ésta realmente ofrece (Porter, 1993).</w:t>
      </w:r>
    </w:p>
    <w:p>
      <w:pPr>
        <w:spacing w:after="80"/>
      </w:pPr>
      <w:r>
        <w:rPr>
          <w:b/>
          <w:color w:val="02629B"/>
          <w:sz w:val="20"/>
        </w:rPr>
        <w:t xml:space="preserve">Ingestión determinista: </w:t>
      </w:r>
      <w:r>
        <w:rPr>
          <w:sz w:val="20"/>
        </w:rPr>
        <w:t>Pipeline en el que el mismo documento de entrada siempre produce la misma salida, garantizando reproducibilidad científica y auditabilidad.</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