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B6CB0"/>
          <w:sz w:val="18"/>
        </w:rPr>
        <w:t>UNIVERSIDAD DE MURCIA · IX CONCURSO DE IDEAS TALENTO UMUEMPRENDE 2026</w:t>
      </w:r>
    </w:p>
    <w:p>
      <w:pPr>
        <w:spacing w:before="40" w:after="60"/>
      </w:pPr>
      <w:r>
        <w:rPr>
          <w:rFonts w:ascii="Arial" w:hAnsi="Arial"/>
          <w:b/>
          <w:color w:val="1A365D"/>
          <w:sz w:val="28"/>
        </w:rPr>
        <w:t>STATER: Infraestructura Tecnológica de Datos Financieros Paneuropeos, Inteligencia Fundamental y Democratización del Conocimiento Cuantitativo</w:t>
      </w:r>
    </w:p>
    <w:p>
      <w:pPr>
        <w:spacing w:after="160"/>
      </w:pPr>
      <w:r>
        <w:rPr>
          <w:rFonts w:ascii="Arial" w:hAnsi="Arial"/>
          <w:i/>
          <w:color w:val="4A5568"/>
          <w:sz w:val="20"/>
        </w:rPr>
        <w:t>Memoria Ejecutiva de Proyecto Empresarial, Base Científica, Modelo de Negocio y Plan de Impacto Social</w:t>
      </w:r>
    </w:p>
    <w:tbl>
      <w:tblPr>
        <w:tblW w:type="auto" w:w="0"/>
        <w:jc w:val="center"/>
        <w:tblLayout w:type="fixed"/>
        <w:tblLook w:firstColumn="1" w:firstRow="1" w:lastColumn="0" w:lastRow="0" w:noHBand="0" w:noVBand="1" w:val="04A0"/>
      </w:tblPr>
      <w:tblGrid>
        <w:gridCol w:w="4703"/>
        <w:gridCol w:w="4703"/>
      </w:tblGrid>
      <w:tr>
        <w:tc>
          <w:tcPr>
            <w:tcW w:type="dxa" w:w="2551"/>
            <w:shd w:fill="EDF2F7"/>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b/>
                <w:color w:val="1A365D"/>
                <w:sz w:val="17"/>
              </w:rPr>
              <w:t>Rama de Conocimiento:</w:t>
            </w:r>
          </w:p>
        </w:tc>
        <w:tc>
          <w:tcPr>
            <w:tcW w:type="dxa" w:w="6520"/>
            <w:shd w:fill="F7FAFC"/>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color w:val="2D3748"/>
                <w:sz w:val="17"/>
              </w:rPr>
              <w:t>Ciencias Sociales y Jurídicas (con intensiva transferencia técnica a Ciencias e Ingenierías)</w:t>
            </w:r>
          </w:p>
        </w:tc>
      </w:tr>
      <w:tr>
        <w:tc>
          <w:tcPr>
            <w:tcW w:type="dxa" w:w="2551"/>
            <w:shd w:fill="EDF2F7"/>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b/>
                <w:color w:val="1A365D"/>
                <w:sz w:val="17"/>
              </w:rPr>
              <w:t>Categorías a Premios:</w:t>
            </w:r>
          </w:p>
        </w:tc>
        <w:tc>
          <w:tcPr>
            <w:tcW w:type="dxa" w:w="6520"/>
            <w:shd w:fill="F7FAFC"/>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color w:val="2D3748"/>
                <w:sz w:val="17"/>
              </w:rPr>
              <w:t>1) Mejor Idea en Ciencias Sociales y Jurídicas | 2) Mayor Proyección Empresarial | 3) Premio Yunus-Emprendimiento Social | 4) Mejor Idea Universidad de Murcia</w:t>
            </w:r>
          </w:p>
        </w:tc>
      </w:tr>
      <w:tr>
        <w:tc>
          <w:tcPr>
            <w:tcW w:type="dxa" w:w="2551"/>
            <w:shd w:fill="EDF2F7"/>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b/>
                <w:color w:val="1A365D"/>
                <w:sz w:val="17"/>
              </w:rPr>
              <w:t>Vinculación UMU:</w:t>
            </w:r>
          </w:p>
        </w:tc>
        <w:tc>
          <w:tcPr>
            <w:tcW w:type="dxa" w:w="6520"/>
            <w:shd w:fill="F7FAFC"/>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color w:val="2D3748"/>
                <w:sz w:val="17"/>
              </w:rPr>
              <w:t>Estudiante de Posgrado / Máster Universitario Oficial (TFM defendido y validado por Tribunal)</w:t>
            </w:r>
          </w:p>
        </w:tc>
      </w:tr>
      <w:tr>
        <w:tc>
          <w:tcPr>
            <w:tcW w:type="dxa" w:w="2551"/>
            <w:shd w:fill="EDF2F7"/>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b/>
                <w:color w:val="1A365D"/>
                <w:sz w:val="17"/>
              </w:rPr>
              <w:t>Ecosistema Integral:</w:t>
            </w:r>
          </w:p>
        </w:tc>
        <w:tc>
          <w:tcPr>
            <w:tcW w:type="dxa" w:w="6520"/>
            <w:shd w:fill="F7FAFC"/>
            <w:tcMar>
              <w:top w:w="40" w:type="dxa"/>
              <w:bottom w:w="40" w:type="dxa"/>
              <w:left w:w="80" w:type="dxa"/>
              <w:right w:w="80" w:type="dxa"/>
            </w:tcMar>
            <w:tcBorders>
              <w:top w:val="single" w:sz="4" w:space="0" w:color="CBD5E0"/>
              <w:bottom w:val="single" w:sz="4" w:space="0" w:color="CBD5E0"/>
              <w:left w:val="single" w:sz="4" w:space="0" w:color="CBD5E0"/>
              <w:right w:val="single" w:sz="4" w:space="0" w:color="CBD5E0"/>
            </w:tcBorders>
          </w:tcPr>
          <w:p>
            <w:pPr>
              <w:spacing w:before="20" w:after="20"/>
            </w:pPr>
            <w:r>
              <w:rPr>
                <w:rFonts w:ascii="Arial" w:hAnsi="Arial"/>
                <w:color w:val="2D3748"/>
                <w:sz w:val="17"/>
              </w:rPr>
              <w:t>STATER: ARGOS Data Engine (Datos) + Intrinsic Value (Research) + Luminic Finance (Comunidad)</w:t>
            </w:r>
          </w:p>
        </w:tc>
      </w:tr>
    </w:tbl>
    <w:p>
      <w:pPr>
        <w:spacing w:after="120"/>
      </w:pPr>
    </w:p>
    <w:p>
      <w:pPr>
        <w:spacing w:before="160" w:after="60"/>
      </w:pPr>
      <w:r>
        <w:rPr>
          <w:rFonts w:ascii="Arial" w:hAnsi="Arial"/>
          <w:b/>
          <w:color w:val="1A365D"/>
          <w:sz w:val="22"/>
        </w:rPr>
        <w:t>1. DESCRIPCIÓN DE LA IDEA DE NEGOCIO Y PROBLEMA QUE RESUELVE</w:t>
      </w:r>
    </w:p>
    <w:tbl>
      <w:tblPr>
        <w:tblW w:type="auto" w:w="0"/>
        <w:jc w:val="center"/>
        <w:tblLook w:firstColumn="1" w:firstRow="1" w:lastColumn="0" w:lastRow="0" w:noHBand="0" w:noVBand="1" w:val="04A0"/>
      </w:tblPr>
      <w:tblGrid>
        <w:gridCol w:w="9406"/>
      </w:tblGrid>
      <w:tr>
        <w:tc>
          <w:tcPr>
            <w:tcW w:type="dxa" w:w="9071"/>
            <w:shd w:fill="F7FAFC"/>
            <w:tcBorders>
              <w:top w:val="none"/>
              <w:bottom w:val="none"/>
              <w:left w:val="single" w:sz="24" w:space="0" w:color="1A365D"/>
              <w:right w:val="none"/>
            </w:tcBorders>
            <w:tcMar>
              <w:top w:w="100" w:type="dxa"/>
              <w:bottom w:w="100" w:type="dxa"/>
              <w:left w:w="160" w:type="dxa"/>
              <w:right w:w="120" w:type="dxa"/>
            </w:tcMar>
          </w:tcPr>
          <w:p>
            <w:pPr>
              <w:spacing w:before="20" w:after="60"/>
            </w:pPr>
            <w:r>
              <w:rPr>
                <w:rFonts w:ascii="Arial" w:hAnsi="Arial"/>
                <w:b/>
                <w:color w:val="1A365D"/>
                <w:sz w:val="19"/>
              </w:rPr>
              <w:t>⚡ GUÍA DE ARTICULACIÓN Y CONCEPTOS CLAVE</w:t>
              <w:br/>
            </w:r>
          </w:p>
          <w:p>
            <w:pPr>
              <w:spacing w:before="20" w:after="40" w:line="269" w:lineRule="auto"/>
            </w:pPr>
            <w:r>
              <w:rPr>
                <w:rFonts w:ascii="Arial" w:hAnsi="Arial"/>
                <w:b/>
                <w:color w:val="2B6CB0"/>
                <w:sz w:val="18"/>
              </w:rPr>
              <w:t xml:space="preserve">• Enfoque de Impacto: </w:t>
            </w:r>
            <w:r>
              <w:rPr>
                <w:rFonts w:ascii="Arial" w:hAnsi="Arial"/>
                <w:color w:val="2D3748"/>
                <w:sz w:val="18"/>
              </w:rPr>
              <w:t>STATER no es un broker ni promueve trading especulativo. Resuelve una asimetría de mercado estructural: la opacidad de los datos contables y la privatización de facto de información pública.</w:t>
            </w:r>
          </w:p>
          <w:p>
            <w:pPr>
              <w:spacing w:before="20" w:after="40" w:line="269" w:lineRule="auto"/>
            </w:pPr>
            <w:r>
              <w:rPr>
                <w:rFonts w:ascii="Arial" w:hAnsi="Arial"/>
                <w:b/>
                <w:color w:val="2B6CB0"/>
                <w:sz w:val="18"/>
              </w:rPr>
              <w:t xml:space="preserve">• Dato Clave DALBAR QAIB: </w:t>
            </w:r>
            <w:r>
              <w:rPr>
                <w:rFonts w:ascii="Arial" w:hAnsi="Arial"/>
                <w:color w:val="2D3748"/>
                <w:sz w:val="18"/>
              </w:rPr>
              <w:t>Cita el informe global DALBAR: el minorista medio obtiene un 2,6% anualizado frente al 7,8% del S&amp;P 500 (brecha acumulada de 5,2 puntos porcentuales anuales durante 20 años). Los ahorros se erosionan en depósitos con rentabilidad real negativa.</w:t>
            </w:r>
          </w:p>
          <w:p>
            <w:pPr>
              <w:spacing w:before="20" w:after="40" w:line="269" w:lineRule="auto"/>
            </w:pPr>
            <w:r>
              <w:rPr>
                <w:rFonts w:ascii="Arial" w:hAnsi="Arial"/>
                <w:b/>
                <w:color w:val="2B6CB0"/>
                <w:sz w:val="18"/>
              </w:rPr>
              <w:t xml:space="preserve">• La Fragmentación de los 27 OAMs: </w:t>
            </w:r>
            <w:r>
              <w:rPr>
                <w:rFonts w:ascii="Arial" w:hAnsi="Arial"/>
                <w:color w:val="2D3748"/>
                <w:sz w:val="18"/>
              </w:rPr>
              <w:t>La información de las más de 50.000 cotizadas europeas yace dispersa en 27 repositorios nacionales (CNMV, BaFin, AMF, CONSOB), en PDFs no estructurados, con barreras de idioma y notas de auditoría inaccesibles.</w:t>
            </w:r>
          </w:p>
          <w:p>
            <w:pPr>
              <w:spacing w:before="20" w:after="40" w:line="269" w:lineRule="auto"/>
            </w:pPr>
            <w:r>
              <w:rPr>
                <w:rFonts w:ascii="Arial" w:hAnsi="Arial"/>
                <w:b/>
                <w:color w:val="2B6CB0"/>
                <w:sz w:val="18"/>
              </w:rPr>
              <w:t xml:space="preserve">• Glosario Técnico Obligatorio: </w:t>
            </w:r>
            <w:r>
              <w:rPr>
                <w:rFonts w:ascii="Arial" w:hAnsi="Arial"/>
                <w:color w:val="2D3748"/>
                <w:sz w:val="18"/>
              </w:rPr>
              <w:t>Asimetría informacional, OAM (Officially Appointed Mechanism), ESEF/iXBRL, KAM (Key Audit Matters - ISA 701), CSRD/ESRS, Verdad documental, Brecha DALBAR, Pipeline determinista.</w:t>
            </w:r>
          </w:p>
        </w:tc>
      </w:tr>
    </w:tbl>
    <w:p>
      <w:pPr>
        <w:spacing w:before="0" w:after="40"/>
      </w:pPr>
    </w:p>
    <w:p>
      <w:pPr>
        <w:spacing w:line="276" w:lineRule="auto" w:after="80"/>
      </w:pPr>
      <w:r>
        <w:t>STATER se formula ante una paradoja sangrante del sistema socioeconómico: España es un país que ahorra (con tasas próximas al 12% de la renta disponible), pero cuyos ahorros sufren una erosión silenciosa e inexorable al permanecer cautivos en depósitos bancarios con tipos de interés reales negativos frente a la inflación. Según el prestigioso informe global DALBAR QAIB, durante las dos últimas décadas el inversor minorista promedio capturó apenas un 2,6% anualizado frente al 7,8% de los índices de referencia, cediendo 5,2 puntos porcentuales anuales. Esta sangría no se debe a una incapacidad individual, sino a una severa barrera estructural: la asimetría informativa.</w:t>
      </w:r>
    </w:p>
    <w:p>
      <w:pPr>
        <w:spacing w:line="276" w:lineRule="auto" w:after="120"/>
      </w:pPr>
      <w:r>
        <w:t>Mientras los grandes fondos pagan peajes de entre 25.000 € y 50.000 € anuales por terminales cerrados (Bloomberg, FactSet, LSEG), la información corporativa de las más de 50.000 cotizadas europeas —legalmente pública— se encuentra fragmentada e ininteligible en 27 repositorios nacionales (OAMs como CNMV en España, BaFin en Alemania, AMF en Francia o CONSOB en Italia), atrapada en memorias PDF no estructuradas y notas de auditoría opacas. STATER destruye este oligopolio operando como una corporación unitaria estructurada en tres ramas sinérgicas:</w:t>
        <w:br/>
        <w:t>• ARGOS (Metadata Financial Data Engine): Motor de infraestructura que descarga, normaliza y sella criptográficamente con SHA-256 el corpus documental paneuropeo en Inline XBRL (ESEF), cuestiones clave de auditoría (KAMs bajo ISA 701) y métricas de sostenibilidad (CSRD/ESRS).</w:t>
        <w:br/>
        <w:t>• INTRINSIC VALUE (Research &amp; Factor Intelligence): Laboratorio cuantitativo que procesa la verdad de balances en factores fundamentales (Value, Quality, Solvencia Altman Z-Score, F-Score de Piotroski y Opacidad Contable), aislando ventajas competitivas reales y neutralizando trampas de valor.</w:t>
        <w:br/>
        <w:t>• LUMINIC FINANCE (Academy &amp; Open Quant Lab): Plataforma comunitaria abierta que democratiza el acceso a la formación financiera de élite y a la programación cuantitativa (Python, SQL e IA aplicada a finanzas), preparando a estudiantes y profesionales para certificaciones oficiales (EFPA/CFA).</w:t>
      </w:r>
    </w:p>
    <w:p>
      <w:pPr>
        <w:spacing w:before="160" w:after="60"/>
      </w:pPr>
      <w:r>
        <w:rPr>
          <w:rFonts w:ascii="Arial" w:hAnsi="Arial"/>
          <w:b/>
          <w:color w:val="1A365D"/>
          <w:sz w:val="22"/>
        </w:rPr>
        <w:t>2. JUSTIFICACIÓN DE LA ORIGINALIDAD FRENTE AL ECOSISTEMA COMPETIDOR</w:t>
      </w:r>
    </w:p>
    <w:tbl>
      <w:tblPr>
        <w:tblW w:type="auto" w:w="0"/>
        <w:jc w:val="center"/>
        <w:tblLook w:firstColumn="1" w:firstRow="1" w:lastColumn="0" w:lastRow="0" w:noHBand="0" w:noVBand="1" w:val="04A0"/>
      </w:tblPr>
      <w:tblGrid>
        <w:gridCol w:w="9406"/>
      </w:tblGrid>
      <w:tr>
        <w:tc>
          <w:tcPr>
            <w:tcW w:type="dxa" w:w="9071"/>
            <w:shd w:fill="F7FAFC"/>
            <w:tcBorders>
              <w:top w:val="none"/>
              <w:bottom w:val="none"/>
              <w:left w:val="single" w:sz="24" w:space="0" w:color="1A365D"/>
              <w:right w:val="none"/>
            </w:tcBorders>
            <w:tcMar>
              <w:top w:w="100" w:type="dxa"/>
              <w:bottom w:w="100" w:type="dxa"/>
              <w:left w:w="160" w:type="dxa"/>
              <w:right w:w="120" w:type="dxa"/>
            </w:tcMar>
          </w:tcPr>
          <w:p>
            <w:pPr>
              <w:spacing w:before="20" w:after="60"/>
            </w:pPr>
            <w:r>
              <w:rPr>
                <w:rFonts w:ascii="Arial" w:hAnsi="Arial"/>
                <w:b/>
                <w:color w:val="1A365D"/>
                <w:sz w:val="19"/>
              </w:rPr>
              <w:t>⚡ GUÍA DE ARTICULACIÓN Y VENTAJA COMPETITIVA</w:t>
              <w:br/>
            </w:r>
          </w:p>
          <w:p>
            <w:pPr>
              <w:spacing w:before="20" w:after="40" w:line="269" w:lineRule="auto"/>
            </w:pPr>
            <w:r>
              <w:rPr>
                <w:rFonts w:ascii="Arial" w:hAnsi="Arial"/>
                <w:b/>
                <w:color w:val="2B6CB0"/>
                <w:sz w:val="18"/>
              </w:rPr>
              <w:t xml:space="preserve">• Estrategia de Precios de STATER: </w:t>
            </w:r>
            <w:r>
              <w:rPr>
                <w:rFonts w:ascii="Arial" w:hAnsi="Arial"/>
                <w:color w:val="2D3748"/>
                <w:sz w:val="18"/>
              </w:rPr>
              <w:t>NO des precios cerrados o rígidos para STATER. Explica que la plataforma se apoya en un 'Tier Gratuito Ampliable Universal' financiado por clientes institucionales B2B (gestoras y family offices), garantizando gratuidad a la población general.</w:t>
            </w:r>
          </w:p>
          <w:p>
            <w:pPr>
              <w:spacing w:before="20" w:after="40" w:line="269" w:lineRule="auto"/>
            </w:pPr>
            <w:r>
              <w:rPr>
                <w:rFonts w:ascii="Arial" w:hAnsi="Arial"/>
                <w:b/>
                <w:color w:val="2B6CB0"/>
                <w:sz w:val="18"/>
              </w:rPr>
              <w:t xml:space="preserve">• Análisis Crítico de la Competencia: </w:t>
            </w:r>
            <w:r>
              <w:rPr>
                <w:rFonts w:ascii="Arial" w:hAnsi="Arial"/>
                <w:color w:val="2D3748"/>
                <w:sz w:val="18"/>
              </w:rPr>
              <w:t>Desnuda a los 4 actores del mercado con sus precios y modelos extractivos: 1) Foros pasivos (Rankia/Finect: esclavos de la comisión bancaria), 2) Brokers sociales (eToro: ludificación y spread donde pierde el usuario), 3) Portales masivos (Investing/Yahoo: publicidad intrusiva y datos superficiales), 4) Terminales élite (Bloomberg/FactSet: 25.000€-50.000€/año que abandonan las Small Caps).</w:t>
            </w:r>
          </w:p>
          <w:p>
            <w:pPr>
              <w:spacing w:before="20" w:after="40" w:line="269" w:lineRule="auto"/>
            </w:pPr>
            <w:r>
              <w:rPr>
                <w:rFonts w:ascii="Arial" w:hAnsi="Arial"/>
                <w:b/>
                <w:color w:val="2B6CB0"/>
                <w:sz w:val="18"/>
              </w:rPr>
              <w:t xml:space="preserve">• El 'Círculo Inconfundible' de STATER: </w:t>
            </w:r>
            <w:r>
              <w:rPr>
                <w:rFonts w:ascii="Arial" w:hAnsi="Arial"/>
                <w:color w:val="2D3748"/>
                <w:sz w:val="18"/>
              </w:rPr>
              <w:t>ARGOS procesa la verdad documental; Intrinsic Value la convierte en modelos; Luminic forma alumnos en casos reales; los mejores alumnos auditan los datos de ARGOS y nutren de talento a la empresa.</w:t>
            </w:r>
          </w:p>
        </w:tc>
      </w:tr>
    </w:tbl>
    <w:p>
      <w:pPr>
        <w:spacing w:before="0" w:after="40"/>
      </w:pP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01"/>
            <w:shd w:fill="1A365D"/>
            <w:tcMar>
              <w:top w:w="50" w:type="dxa"/>
              <w:bottom w:w="50" w:type="dxa"/>
              <w:left w:w="70" w:type="dxa"/>
              <w:right w:w="70" w:type="dxa"/>
            </w:tcMar>
          </w:tcPr>
          <w:p>
            <w:pPr>
              <w:jc w:val="center"/>
            </w:pPr>
            <w:r>
              <w:rPr>
                <w:rFonts w:ascii="Arial" w:hAnsi="Arial"/>
                <w:b/>
                <w:color w:val="FFFFFF"/>
                <w:sz w:val="16"/>
              </w:rPr>
              <w:t>Segmento / Competidor</w:t>
            </w:r>
          </w:p>
        </w:tc>
        <w:tc>
          <w:tcPr>
            <w:tcW w:type="dxa" w:w="2324"/>
            <w:shd w:fill="1A365D"/>
            <w:tcMar>
              <w:top w:w="50" w:type="dxa"/>
              <w:bottom w:w="50" w:type="dxa"/>
              <w:left w:w="70" w:type="dxa"/>
              <w:right w:w="70" w:type="dxa"/>
            </w:tcMar>
          </w:tcPr>
          <w:p>
            <w:pPr>
              <w:jc w:val="center"/>
            </w:pPr>
            <w:r>
              <w:rPr>
                <w:rFonts w:ascii="Arial" w:hAnsi="Arial"/>
                <w:b/>
                <w:color w:val="FFFFFF"/>
                <w:sz w:val="16"/>
              </w:rPr>
              <w:t>Propuesta de Valor &amp; Precio</w:t>
            </w:r>
          </w:p>
        </w:tc>
        <w:tc>
          <w:tcPr>
            <w:tcW w:type="dxa" w:w="2551"/>
            <w:shd w:fill="1A365D"/>
            <w:tcMar>
              <w:top w:w="50" w:type="dxa"/>
              <w:bottom w:w="50" w:type="dxa"/>
              <w:left w:w="70" w:type="dxa"/>
              <w:right w:w="70" w:type="dxa"/>
            </w:tcMar>
          </w:tcPr>
          <w:p>
            <w:pPr>
              <w:jc w:val="center"/>
            </w:pPr>
            <w:r>
              <w:rPr>
                <w:rFonts w:ascii="Arial" w:hAnsi="Arial"/>
                <w:b/>
                <w:color w:val="FFFFFF"/>
                <w:sz w:val="16"/>
              </w:rPr>
              <w:t>Debilidad Estructural</w:t>
            </w:r>
          </w:p>
        </w:tc>
        <w:tc>
          <w:tcPr>
            <w:tcW w:type="dxa" w:w="2494"/>
            <w:shd w:fill="1A365D"/>
            <w:tcMar>
              <w:top w:w="50" w:type="dxa"/>
              <w:bottom w:w="50" w:type="dxa"/>
              <w:left w:w="70" w:type="dxa"/>
              <w:right w:w="70" w:type="dxa"/>
            </w:tcMar>
          </w:tcPr>
          <w:p>
            <w:pPr>
              <w:jc w:val="center"/>
            </w:pPr>
            <w:r>
              <w:rPr>
                <w:rFonts w:ascii="Arial" w:hAnsi="Arial"/>
                <w:b/>
                <w:color w:val="FFFFFF"/>
                <w:sz w:val="16"/>
              </w:rPr>
              <w:t>Diferencial Disruptivo STATER</w:t>
            </w:r>
          </w:p>
        </w:tc>
      </w:tr>
      <w:tr>
        <w:tc>
          <w:tcPr>
            <w:tcW w:type="dxa" w:w="1701"/>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1A365D"/>
                <w:sz w:val="16"/>
              </w:rPr>
              <w:t>Rankia / Finect</w:t>
              <w:br/>
              <w:t>(Comunidades Pasivas)</w:t>
            </w:r>
          </w:p>
        </w:tc>
        <w:tc>
          <w:tcPr>
            <w:tcW w:type="dxa" w:w="2324"/>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Agregadores de foros y comparadores de fondos/hipotecas. Gratuito.</w:t>
            </w:r>
          </w:p>
        </w:tc>
        <w:tc>
          <w:tcPr>
            <w:tcW w:type="dxa" w:w="2551"/>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Modelo editorial analógico sin algoritmos. Su negocio depende de la comisión bancaria por colocación de productos.</w:t>
            </w:r>
          </w:p>
        </w:tc>
        <w:tc>
          <w:tcPr>
            <w:tcW w:type="dxa" w:w="2494"/>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2B6CB0"/>
                <w:sz w:val="16"/>
              </w:rPr>
              <w:t>Motor cuantitativo real, extracción automática de filings ESEF/XBRL e independencia editorial absoluta.</w:t>
            </w:r>
          </w:p>
        </w:tc>
      </w:tr>
      <w:tr>
        <w:tc>
          <w:tcPr>
            <w:tcW w:type="dxa" w:w="1701"/>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1A365D"/>
                <w:sz w:val="16"/>
              </w:rPr>
              <w:t>eToro / Social Brokers</w:t>
              <w:br/>
              <w:t>(Brokers de Trading)</w:t>
            </w:r>
          </w:p>
        </w:tc>
        <w:tc>
          <w:tcPr>
            <w:tcW w:type="dxa" w:w="2324"/>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Plataformas de copy trading y operativa social móvil. Comisiones en spread.</w:t>
            </w:r>
          </w:p>
        </w:tc>
        <w:tc>
          <w:tcPr>
            <w:tcW w:type="dxa" w:w="2551"/>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Conflicto de interés endémico: ganan con el volumen transaccional y apalancamiento, donde el 76% de minoristas pierde capital.</w:t>
            </w:r>
          </w:p>
        </w:tc>
        <w:tc>
          <w:tcPr>
            <w:tcW w:type="dxa" w:w="2494"/>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2B6CB0"/>
                <w:sz w:val="16"/>
              </w:rPr>
              <w:t>Foco en inversión fundamental de largo plazo, análisis de balances reales y erradicación del trading especulativo.</w:t>
            </w:r>
          </w:p>
        </w:tc>
      </w:tr>
      <w:tr>
        <w:tc>
          <w:tcPr>
            <w:tcW w:type="dxa" w:w="1701"/>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1A365D"/>
                <w:sz w:val="16"/>
              </w:rPr>
              <w:t>Investing / Yahoo Fin.</w:t>
              <w:br/>
              <w:t>(Portales Masivos)</w:t>
            </w:r>
          </w:p>
        </w:tc>
        <w:tc>
          <w:tcPr>
            <w:tcW w:type="dxa" w:w="2324"/>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Portales de cotizaciones en tiempo real. Modelo freemium con publicidad.</w:t>
            </w:r>
          </w:p>
        </w:tc>
        <w:tc>
          <w:tcPr>
            <w:tcW w:type="dxa" w:w="2551"/>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Superficialidad contable, saturación de publicidad intrusiva y nula trazabilidad hacia las notas de auditoría oficiales.</w:t>
            </w:r>
          </w:p>
        </w:tc>
        <w:tc>
          <w:tcPr>
            <w:tcW w:type="dxa" w:w="2494"/>
            <w:shd w:fill="FFFFFF"/>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2B6CB0"/>
                <w:sz w:val="16"/>
              </w:rPr>
              <w:t>Datos puros limpios de ruido, trazabilidad criptográfica SHA-256 al documento oficial y entorno sin publicidad.</w:t>
            </w:r>
          </w:p>
        </w:tc>
      </w:tr>
      <w:tr>
        <w:tc>
          <w:tcPr>
            <w:tcW w:type="dxa" w:w="1701"/>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1A365D"/>
                <w:sz w:val="16"/>
              </w:rPr>
              <w:t>Bloomberg / FactSet / LSEG</w:t>
              <w:br/>
              <w:t>(Terminales Globales)</w:t>
            </w:r>
          </w:p>
        </w:tc>
        <w:tc>
          <w:tcPr>
            <w:tcW w:type="dxa" w:w="2324"/>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Terminales institucionales cerrados. 25.000 € a 50.000 € / año por usuario.</w:t>
            </w:r>
          </w:p>
        </w:tc>
        <w:tc>
          <w:tcPr>
            <w:tcW w:type="dxa" w:w="2551"/>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Barrera económica extractiva que excluye al 99% del mercado. 'Cajas negras' propietarias que abandonan a las Small Caps.</w:t>
            </w:r>
          </w:p>
        </w:tc>
        <w:tc>
          <w:tcPr>
            <w:tcW w:type="dxa" w:w="2494"/>
            <w:shd w:fill="F7FAFC"/>
            <w:tcMar>
              <w:top w:w="40" w:type="dxa"/>
              <w:bottom w:w="40"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b/>
                <w:color w:val="2B6CB0"/>
                <w:sz w:val="16"/>
              </w:rPr>
              <w:t>Tier Gratuito Ampliable para la sociedad, con servicios B2B un 80% más eficientes para gestoras boutique.</w:t>
            </w:r>
          </w:p>
        </w:tc>
      </w:tr>
    </w:tbl>
    <w:p>
      <w:pPr>
        <w:spacing w:after="120"/>
      </w:pPr>
    </w:p>
    <w:p>
      <w:pPr>
        <w:spacing w:before="160" w:after="60"/>
      </w:pPr>
      <w:r>
        <w:rPr>
          <w:rFonts w:ascii="Arial" w:hAnsi="Arial"/>
          <w:b/>
          <w:color w:val="1A365D"/>
          <w:sz w:val="22"/>
        </w:rPr>
        <w:t>3. COMPONENTE TECNOLÓGICO, ARQUITECTURA DE CÓDIGO Y ESTRATEGIA CLOUD</w:t>
      </w:r>
    </w:p>
    <w:tbl>
      <w:tblPr>
        <w:tblW w:type="auto" w:w="0"/>
        <w:jc w:val="center"/>
        <w:tblLook w:firstColumn="1" w:firstRow="1" w:lastColumn="0" w:lastRow="0" w:noHBand="0" w:noVBand="1" w:val="04A0"/>
      </w:tblPr>
      <w:tblGrid>
        <w:gridCol w:w="9406"/>
      </w:tblGrid>
      <w:tr>
        <w:tc>
          <w:tcPr>
            <w:tcW w:type="dxa" w:w="9071"/>
            <w:shd w:fill="F7FAFC"/>
            <w:tcBorders>
              <w:top w:val="none"/>
              <w:bottom w:val="none"/>
              <w:left w:val="single" w:sz="24" w:space="0" w:color="1A365D"/>
              <w:right w:val="none"/>
            </w:tcBorders>
            <w:tcMar>
              <w:top w:w="100" w:type="dxa"/>
              <w:bottom w:w="100" w:type="dxa"/>
              <w:left w:w="160" w:type="dxa"/>
              <w:right w:w="120" w:type="dxa"/>
            </w:tcMar>
          </w:tcPr>
          <w:p>
            <w:pPr>
              <w:spacing w:before="20" w:after="60"/>
            </w:pPr>
            <w:r>
              <w:rPr>
                <w:rFonts w:ascii="Arial" w:hAnsi="Arial"/>
                <w:b/>
                <w:color w:val="1A365D"/>
                <w:sz w:val="19"/>
              </w:rPr>
              <w:t>⚡ GUÍA DE ARTICULACIÓN Y TECNOLOGÍAS DE VANGUARDIA</w:t>
              <w:br/>
            </w:r>
          </w:p>
          <w:p>
            <w:pPr>
              <w:spacing w:before="20" w:after="40" w:line="269" w:lineRule="auto"/>
            </w:pPr>
            <w:r>
              <w:rPr>
                <w:rFonts w:ascii="Arial" w:hAnsi="Arial"/>
                <w:b/>
                <w:color w:val="2B6CB0"/>
                <w:sz w:val="18"/>
              </w:rPr>
              <w:t xml:space="preserve">• Realidad Funcional: </w:t>
            </w:r>
            <w:r>
              <w:rPr>
                <w:rFonts w:ascii="Arial" w:hAnsi="Arial"/>
                <w:color w:val="2D3748"/>
                <w:sz w:val="18"/>
              </w:rPr>
              <w:t>STATER no es un concepto teórico: es código en producción con pipelines deterministas que procesan terabytes de filings de España, Francia y Alemania.</w:t>
            </w:r>
          </w:p>
          <w:p>
            <w:pPr>
              <w:spacing w:before="20" w:after="40" w:line="269" w:lineRule="auto"/>
            </w:pPr>
            <w:r>
              <w:rPr>
                <w:rFonts w:ascii="Arial" w:hAnsi="Arial"/>
                <w:b/>
                <w:color w:val="2B6CB0"/>
                <w:sz w:val="18"/>
              </w:rPr>
              <w:t xml:space="preserve">• Inteligencia Artificial y Agentes: </w:t>
            </w:r>
            <w:r>
              <w:rPr>
                <w:rFonts w:ascii="Arial" w:hAnsi="Arial"/>
                <w:color w:val="2D3748"/>
                <w:sz w:val="18"/>
              </w:rPr>
              <w:t>Destaca la integración de OpenHands (framework agéntico de código abierto para orquestación de ingeniería de datos) y Gemini 2.5 Pro (para el razonamiento profundo en la extracción de KAMs y conciliación semántica multilingüe).</w:t>
            </w:r>
          </w:p>
          <w:p>
            <w:pPr>
              <w:spacing w:before="20" w:after="40" w:line="269" w:lineRule="auto"/>
            </w:pPr>
            <w:r>
              <w:rPr>
                <w:rFonts w:ascii="Arial" w:hAnsi="Arial"/>
                <w:b/>
                <w:color w:val="2B6CB0"/>
                <w:sz w:val="18"/>
              </w:rPr>
              <w:t xml:space="preserve">• Estrategia de Financiación Cloud (Becas Tech): </w:t>
            </w:r>
            <w:r>
              <w:rPr>
                <w:rFonts w:ascii="Arial" w:hAnsi="Arial"/>
                <w:color w:val="2D3748"/>
                <w:sz w:val="18"/>
              </w:rPr>
              <w:t>Explica la instrumentalización de recursos mediante la postulación a Google for Startups Cloud Program (hasta $100k-$200k en créditos Google Cloud/Vertex AI) y Microsoft for Startups Founders Hub (hasta $150k en créditos Azure y OpenAI), reduciendo a cero el coste de infraestructura en los primeros 24 meses.</w:t>
            </w:r>
          </w:p>
          <w:p>
            <w:pPr>
              <w:spacing w:before="20" w:after="40" w:line="269" w:lineRule="auto"/>
            </w:pPr>
            <w:r>
              <w:rPr>
                <w:rFonts w:ascii="Arial" w:hAnsi="Arial"/>
                <w:b/>
                <w:color w:val="2B6CB0"/>
                <w:sz w:val="18"/>
              </w:rPr>
              <w:t xml:space="preserve">• Vocabulario Técnico: </w:t>
            </w:r>
            <w:r>
              <w:rPr>
                <w:rFonts w:ascii="Arial" w:hAnsi="Arial"/>
                <w:color w:val="2D3748"/>
                <w:sz w:val="18"/>
              </w:rPr>
              <w:t>Inline XBRL (iXBRL), API REST OpenAPI/Swagger, DuckDB in-memory OLAP, Apache Parquet vectorizado, Hash criptográfico SHA-256, OpenHands, Gemini 2.5 Pro, Azure Founders Hub.</w:t>
            </w:r>
          </w:p>
        </w:tc>
      </w:tr>
    </w:tbl>
    <w:p>
      <w:pPr>
        <w:spacing w:before="0" w:after="40"/>
      </w:pPr>
    </w:p>
    <w:p>
      <w:pPr>
        <w:spacing w:line="276" w:lineRule="auto" w:after="80"/>
      </w:pPr>
      <w:r>
        <w:t>La base técnica del proyecto es ARGOS Data Engine, una infraestructura de software desacoplada desarrollada en Python 3 puro. A diferencia de los intermediarios comerciales que revenden feeds agregados, ARGOS ingesta directamente desde las fuentes primarias reguladas mediante una jerarquía canónica inmutable {AÑO}/{TAX_ID}_{TICKER}/{TICKER}_{AÑO}_{TAG}.{ext}, respaldada por conectores especializados:</w:t>
        <w:br/>
        <w:t>1) Ingesta Oficial de OAMs: Conexión nativa con CNMV (España), AMF/BDIF (Francia), BaFin/Unternehmensregister (Alemania), CONSOB (Italia) y AFM (Países Bajos).</w:t>
        <w:br/>
        <w:t>2) Decodificación ESEF/iXBRL: Procesamiento directo de taxonomías contables europeas, extrayendo metadatos numéricos con precisión decimal sin pérdida de redondeo.</w:t>
        <w:br/>
        <w:t>3) Trazabilidad Criptográfica: Cada archivo descargado se valida mediante magic bytes (%PDF o PK0304) y se sella con un hash SHA-256 almacenado en un archivo espejo .meta.json, garantizando auditoría forense inalterable y eliminando cualquier sesgo de supervivencia.</w:t>
      </w:r>
    </w:p>
    <w:p>
      <w:pPr>
        <w:spacing w:line="276" w:lineRule="auto" w:after="120"/>
      </w:pPr>
      <w:r>
        <w:t>Para las tareas complejas de extracción semántica (análisis de notas de auditoría y desmantelamiento de greenwashing), el sistema integra un flujo de trabajo agéntico con OpenHands (plataforma de código abierto para orquestación de software) y modelos fundacionales Gemini 2.5 Pro. Esta arquitectura permite auditar miles de memorias anuales de forma concurrente, conciliando discrepancias contables transfronterizas. La viabilidad y escalabilidad de cómputo se garantiza mediante la postulación formal a dos convocatorias internacionales de apoyo tecnológico: Microsoft for Startups Founders Hub (que otorga hasta 150.000 $ en créditos de Microsoft Azure y servicios OpenAI) y Google for Startups Cloud Program (hasta 200.000 $ en créditos de Google Cloud Platform y Vertex AI). Esta instrumentalización estratégica permite desplegar bases de datos vectorizadas (DuckDB / Parquet) y clústeres de inferencia con un coste de servidores prácticamente nulo durante la fase crítica de escalado.</w:t>
      </w:r>
    </w:p>
    <w:p>
      <w:pPr>
        <w:spacing w:before="160" w:after="60"/>
      </w:pPr>
      <w:r>
        <w:rPr>
          <w:rFonts w:ascii="Arial" w:hAnsi="Arial"/>
          <w:b/>
          <w:color w:val="1A365D"/>
          <w:sz w:val="22"/>
        </w:rPr>
        <w:t>4. BASE ACADÉMICA Y METODOLOGÍA CIENTÍFICA (TFM VALIDADO EN LA UMU)</w:t>
      </w:r>
    </w:p>
    <w:tbl>
      <w:tblPr>
        <w:tblW w:type="auto" w:w="0"/>
        <w:jc w:val="center"/>
        <w:tblLook w:firstColumn="1" w:firstRow="1" w:lastColumn="0" w:lastRow="0" w:noHBand="0" w:noVBand="1" w:val="04A0"/>
      </w:tblPr>
      <w:tblGrid>
        <w:gridCol w:w="9406"/>
      </w:tblGrid>
      <w:tr>
        <w:tc>
          <w:tcPr>
            <w:tcW w:type="dxa" w:w="9071"/>
            <w:shd w:fill="F7FAFC"/>
            <w:tcBorders>
              <w:top w:val="none"/>
              <w:bottom w:val="none"/>
              <w:left w:val="single" w:sz="24" w:space="0" w:color="1A365D"/>
              <w:right w:val="none"/>
            </w:tcBorders>
            <w:tcMar>
              <w:top w:w="100" w:type="dxa"/>
              <w:bottom w:w="100" w:type="dxa"/>
              <w:left w:w="160" w:type="dxa"/>
              <w:right w:w="120" w:type="dxa"/>
            </w:tcMar>
          </w:tcPr>
          <w:p>
            <w:pPr>
              <w:spacing w:before="20" w:after="60"/>
            </w:pPr>
            <w:r>
              <w:rPr>
                <w:rFonts w:ascii="Arial" w:hAnsi="Arial"/>
                <w:b/>
                <w:color w:val="1A365D"/>
                <w:sz w:val="19"/>
              </w:rPr>
              <w:t>⚡ GUÍA DE ARTICULACIÓN Y RESPALDO UNIVERSITARIO</w:t>
              <w:br/>
            </w:r>
          </w:p>
          <w:p>
            <w:pPr>
              <w:spacing w:before="20" w:after="40" w:line="269" w:lineRule="auto"/>
            </w:pPr>
            <w:r>
              <w:rPr>
                <w:rFonts w:ascii="Arial" w:hAnsi="Arial"/>
                <w:b/>
                <w:color w:val="2B6CB0"/>
                <w:sz w:val="18"/>
              </w:rPr>
              <w:t xml:space="preserve">• Legitimidad Académica: </w:t>
            </w:r>
            <w:r>
              <w:rPr>
                <w:rFonts w:ascii="Arial" w:hAnsi="Arial"/>
                <w:color w:val="2D3748"/>
                <w:sz w:val="18"/>
              </w:rPr>
              <w:t>El proyecto surge de un Trabajo Final de Máster oficial defendido y validado con honores en la Universidad de Murcia (Departamento de Economía Financiera y Contabilidad).</w:t>
            </w:r>
          </w:p>
          <w:p>
            <w:pPr>
              <w:spacing w:before="20" w:after="40" w:line="269" w:lineRule="auto"/>
            </w:pPr>
            <w:r>
              <w:rPr>
                <w:rFonts w:ascii="Arial" w:hAnsi="Arial"/>
                <w:b/>
                <w:color w:val="2B6CB0"/>
                <w:sz w:val="18"/>
              </w:rPr>
              <w:t xml:space="preserve">• Estudio 1 (KAMs ISA 701): </w:t>
            </w:r>
            <w:r>
              <w:rPr>
                <w:rFonts w:ascii="Arial" w:hAnsi="Arial"/>
                <w:color w:val="2D3748"/>
                <w:sz w:val="18"/>
              </w:rPr>
              <w:t>Demuestra científicamente que las Cuestiones Clave de Auditoría anticipan riesgos bursátiles y contables antes de que el mercado tradicional los descuente, clasificando las empresas en 6 bolsas fundamentales de riesgo.</w:t>
            </w:r>
          </w:p>
          <w:p>
            <w:pPr>
              <w:spacing w:before="20" w:after="40" w:line="269" w:lineRule="auto"/>
            </w:pPr>
            <w:r>
              <w:rPr>
                <w:rFonts w:ascii="Arial" w:hAnsi="Arial"/>
                <w:b/>
                <w:color w:val="2B6CB0"/>
                <w:sz w:val="18"/>
              </w:rPr>
              <w:t xml:space="preserve">• Estudio 2 (ESG v3.1 &amp; Hard Gating): </w:t>
            </w:r>
            <w:r>
              <w:rPr>
                <w:rFonts w:ascii="Arial" w:hAnsi="Arial"/>
                <w:color w:val="2D3748"/>
                <w:sz w:val="18"/>
              </w:rPr>
              <w:t>Reconstruye el mapa ESG europeo mediante 6 filtros de 'hard gating' (D1 a D6) basados en las directivas NFRD y CSRD/ESRS, impidiendo que las corporaciones maquillen su impacto mediante greenwashing.</w:t>
            </w:r>
          </w:p>
          <w:p>
            <w:pPr>
              <w:spacing w:before="20" w:after="40" w:line="269" w:lineRule="auto"/>
            </w:pPr>
            <w:r>
              <w:rPr>
                <w:rFonts w:ascii="Arial" w:hAnsi="Arial"/>
                <w:b/>
                <w:color w:val="2B6CB0"/>
                <w:sz w:val="18"/>
              </w:rPr>
              <w:t xml:space="preserve">• Modelos Cuantitativos: </w:t>
            </w:r>
            <w:r>
              <w:rPr>
                <w:rFonts w:ascii="Arial" w:hAnsi="Arial"/>
                <w:color w:val="2D3748"/>
                <w:sz w:val="18"/>
              </w:rPr>
              <w:t>F-Score de Piotroski (solvencia de 9 factores), Altman Z-Score (predicción de quiebra) y modelos factoriales de Fama-French.</w:t>
            </w:r>
          </w:p>
        </w:tc>
      </w:tr>
    </w:tbl>
    <w:p>
      <w:pPr>
        <w:spacing w:before="0" w:after="40"/>
      </w:pPr>
    </w:p>
    <w:p>
      <w:pPr>
        <w:spacing w:line="276" w:lineRule="auto" w:after="120"/>
      </w:pPr>
      <w:r>
        <w:t>STATER no es una iniciativa nacida de la especulación, sino el resultado directo de una profunda investigación cuantitativa desarrollada en el seno de la Universidad de Murcia. La metodología subyacente fue contrastada y aprobada por el tribunal examinador a través de dos estudios empíricos:</w:t>
        <w:br/>
        <w:t>1. Estudio 1: Las Cuestiones Clave de Auditoría (KAM bajo ISA 701) como Señal de Riesgo y Predictor Bursátil. Analizando el universo de cotizadas, se modelizó cómo la severidad de las incertidumbres reportadas por los auditores predice deterioros de rentabilidad y volatilidad bursátil, estructurando un semáforo de riesgo contable pionero en España.</w:t>
        <w:br/>
        <w:t>2. Estudio 2: Reconstrucción del Score ESG y Erradicación del Greenwashing. Frente a los ratings comerciales opacos que asignan altas puntuaciones a grandes multinacionales contaminantes por mero volumen de 'reporting' burocrático, STATER diseñó un modelo objetivo basado en las directivas europeas CSRD/ESRS con reglas de exclusión ('hard gating' D1-D6), premiando únicamente el desempeño sostenible verificado con datos contables reales.</w:t>
      </w:r>
    </w:p>
    <w:p>
      <w:pPr>
        <w:spacing w:before="160" w:after="60"/>
      </w:pPr>
      <w:r>
        <w:rPr>
          <w:rFonts w:ascii="Arial" w:hAnsi="Arial"/>
          <w:b/>
          <w:color w:val="1A365D"/>
          <w:sz w:val="22"/>
        </w:rPr>
        <w:t>5. PÚBLICO OBJETIVO, PRESUPUESTO OPERATIVO Y ANÁLISIS DE EQUILIBRIO FINANCIERO</w:t>
      </w:r>
    </w:p>
    <w:tbl>
      <w:tblPr>
        <w:tblW w:type="auto" w:w="0"/>
        <w:jc w:val="center"/>
        <w:tblLook w:firstColumn="1" w:firstRow="1" w:lastColumn="0" w:lastRow="0" w:noHBand="0" w:noVBand="1" w:val="04A0"/>
      </w:tblPr>
      <w:tblGrid>
        <w:gridCol w:w="9406"/>
      </w:tblGrid>
      <w:tr>
        <w:tc>
          <w:tcPr>
            <w:tcW w:type="dxa" w:w="9071"/>
            <w:shd w:fill="F7FAFC"/>
            <w:tcBorders>
              <w:top w:val="none"/>
              <w:bottom w:val="none"/>
              <w:left w:val="single" w:sz="24" w:space="0" w:color="1A365D"/>
              <w:right w:val="none"/>
            </w:tcBorders>
            <w:tcMar>
              <w:top w:w="100" w:type="dxa"/>
              <w:bottom w:w="100" w:type="dxa"/>
              <w:left w:w="160" w:type="dxa"/>
              <w:right w:w="120" w:type="dxa"/>
            </w:tcMar>
          </w:tcPr>
          <w:p>
            <w:pPr>
              <w:spacing w:before="20" w:after="60"/>
            </w:pPr>
            <w:r>
              <w:rPr>
                <w:rFonts w:ascii="Arial" w:hAnsi="Arial"/>
                <w:b/>
                <w:color w:val="1A365D"/>
                <w:sz w:val="19"/>
              </w:rPr>
              <w:t>⚡ GUÍA DE ARTICULACIÓN Y SOSTENIBILIDAD ECONÓMICA</w:t>
              <w:br/>
            </w:r>
          </w:p>
          <w:p>
            <w:pPr>
              <w:spacing w:before="20" w:after="40" w:line="269" w:lineRule="auto"/>
            </w:pPr>
            <w:r>
              <w:rPr>
                <w:rFonts w:ascii="Arial" w:hAnsi="Arial"/>
                <w:b/>
                <w:color w:val="2B6CB0"/>
                <w:sz w:val="18"/>
              </w:rPr>
              <w:t xml:space="preserve">• Público Dual: </w:t>
            </w:r>
            <w:r>
              <w:rPr>
                <w:rFonts w:ascii="Arial" w:hAnsi="Arial"/>
                <w:color w:val="2D3748"/>
                <w:sz w:val="18"/>
              </w:rPr>
              <w:t>Segmentación nítida: 1) Perfil Retail (jóvenes, familias y pymes que necesitan proteger sus ahorros), 2) Perfil Institucional (gestoras boutique, EAFs, family offices y pymes cotizadas que no pueden pagar Bloomberg).</w:t>
            </w:r>
          </w:p>
          <w:p>
            <w:pPr>
              <w:spacing w:before="20" w:after="40" w:line="269" w:lineRule="auto"/>
            </w:pPr>
            <w:r>
              <w:rPr>
                <w:rFonts w:ascii="Arial" w:hAnsi="Arial"/>
                <w:b/>
                <w:color w:val="2B6CB0"/>
                <w:sz w:val="18"/>
              </w:rPr>
              <w:t xml:space="preserve">• Eficiencia de Capital: </w:t>
            </w:r>
            <w:r>
              <w:rPr>
                <w:rFonts w:ascii="Arial" w:hAnsi="Arial"/>
                <w:color w:val="2D3748"/>
                <w:sz w:val="18"/>
              </w:rPr>
              <w:t>Fase 0 completada con solo 1.500-2.350 € de fondos propios. Presupuesto del Año 1 de 22.480 € a 28.500 €, donde más del 40% (11.500 €) se destina íntegramente a remunerar talento universitario de la UMU.</w:t>
            </w:r>
          </w:p>
          <w:p>
            <w:pPr>
              <w:spacing w:before="20" w:after="40" w:line="269" w:lineRule="auto"/>
            </w:pPr>
            <w:r>
              <w:rPr>
                <w:rFonts w:ascii="Arial" w:hAnsi="Arial"/>
                <w:b/>
                <w:color w:val="2B6CB0"/>
                <w:sz w:val="18"/>
              </w:rPr>
              <w:t xml:space="preserve">• Los Dos Niveles de Breakeven: </w:t>
            </w:r>
            <w:r>
              <w:rPr>
                <w:rFonts w:ascii="Arial" w:hAnsi="Arial"/>
                <w:color w:val="2D3748"/>
                <w:sz w:val="18"/>
              </w:rPr>
              <w:t>1) Supervivencia Estricta (Breakeven Cero: 24.000 €/año · ~2.000 €/mes cubierto con solo 3 gestoras B2B y 30 usuarios Pro).</w:t>
              <w:br/>
              <w:t>2) Holgura y Reinversión (86.000 €/año · ~7.166 €/mes), permitiendo financiar la expansión a toda Europa y el programa de becas sociales sin recurrir a deuda bancaria ni inversores dilutivos.</w:t>
            </w:r>
          </w:p>
        </w:tc>
      </w:tr>
    </w:tbl>
    <w:p>
      <w:pPr>
        <w:spacing w:before="0" w:after="40"/>
      </w:pPr>
    </w:p>
    <w:p>
      <w:pPr>
        <w:spacing w:after="40"/>
      </w:pPr>
      <w:r>
        <w:rPr>
          <w:rFonts w:ascii="Arial" w:hAnsi="Arial"/>
          <w:b/>
          <w:color w:val="1A365D"/>
          <w:sz w:val="18"/>
        </w:rPr>
        <w:t>Tabla 1. Presupuesto Operativo de Explotación - Año 1 (Fases 1, 2 y 3 · 12 Meses)</w:t>
      </w:r>
    </w:p>
    <w:tbl>
      <w:tblPr>
        <w:tblW w:type="auto" w:w="0"/>
        <w:jc w:val="center"/>
        <w:tblLayout w:type="fixed"/>
        <w:tblLook w:firstColumn="1" w:firstRow="1" w:lastColumn="0" w:lastRow="0" w:noHBand="0" w:noVBand="1" w:val="04A0"/>
      </w:tblPr>
      <w:tblGrid>
        <w:gridCol w:w="3135"/>
        <w:gridCol w:w="3135"/>
        <w:gridCol w:w="3135"/>
      </w:tblGrid>
      <w:tr>
        <w:tc>
          <w:tcPr>
            <w:tcW w:type="dxa" w:w="3685"/>
            <w:shd w:fill="1A365D"/>
            <w:tcMar>
              <w:top w:w="40" w:type="dxa"/>
              <w:bottom w:w="40" w:type="dxa"/>
              <w:left w:w="60" w:type="dxa"/>
              <w:right w:w="60" w:type="dxa"/>
            </w:tcMar>
          </w:tcPr>
          <w:p>
            <w:pPr>
              <w:jc w:val="center"/>
            </w:pPr>
            <w:r>
              <w:rPr>
                <w:rFonts w:ascii="Arial" w:hAnsi="Arial"/>
                <w:b/>
                <w:color w:val="FFFFFF"/>
                <w:sz w:val="16"/>
              </w:rPr>
              <w:t>Partida Presupuestaria</w:t>
            </w:r>
          </w:p>
        </w:tc>
        <w:tc>
          <w:tcPr>
            <w:tcW w:type="dxa" w:w="3402"/>
            <w:shd w:fill="1A365D"/>
            <w:tcMar>
              <w:top w:w="40" w:type="dxa"/>
              <w:bottom w:w="40" w:type="dxa"/>
              <w:left w:w="60" w:type="dxa"/>
              <w:right w:w="60" w:type="dxa"/>
            </w:tcMar>
          </w:tcPr>
          <w:p>
            <w:pPr>
              <w:jc w:val="center"/>
            </w:pPr>
            <w:r>
              <w:rPr>
                <w:rFonts w:ascii="Arial" w:hAnsi="Arial"/>
                <w:b/>
                <w:color w:val="FFFFFF"/>
                <w:sz w:val="16"/>
              </w:rPr>
              <w:t>Concepto y Detalle Técnico</w:t>
            </w:r>
          </w:p>
        </w:tc>
        <w:tc>
          <w:tcPr>
            <w:tcW w:type="dxa" w:w="1984"/>
            <w:shd w:fill="1A365D"/>
            <w:tcMar>
              <w:top w:w="40" w:type="dxa"/>
              <w:bottom w:w="40" w:type="dxa"/>
              <w:left w:w="60" w:type="dxa"/>
              <w:right w:w="60" w:type="dxa"/>
            </w:tcMar>
          </w:tcPr>
          <w:p>
            <w:pPr>
              <w:jc w:val="center"/>
            </w:pPr>
            <w:r>
              <w:rPr>
                <w:rFonts w:ascii="Arial" w:hAnsi="Arial"/>
                <w:b/>
                <w:color w:val="FFFFFF"/>
                <w:sz w:val="16"/>
              </w:rPr>
              <w:t>Importe Anual</w:t>
            </w:r>
          </w:p>
        </w:tc>
      </w:tr>
      <w:tr>
        <w:tc>
          <w:tcPr>
            <w:tcW w:type="dxa" w:w="3685"/>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Constitución Mercantil y CIRCE</w:t>
            </w:r>
          </w:p>
        </w:tc>
        <w:tc>
          <w:tcPr>
            <w:tcW w:type="dxa" w:w="3402"/>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Trámites notariales y Registro Mercantil telemático (Ley Crea y Crece), FNMT</w:t>
            </w:r>
          </w:p>
        </w:tc>
        <w:tc>
          <w:tcPr>
            <w:tcW w:type="dxa" w:w="1984"/>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350 - 500 €</w:t>
            </w:r>
          </w:p>
        </w:tc>
      </w:tr>
      <w:tr>
        <w:tc>
          <w:tcPr>
            <w:tcW w:type="dxa" w:w="3685"/>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Capital Social Estatutario SL</w:t>
            </w:r>
          </w:p>
        </w:tc>
        <w:tc>
          <w:tcPr>
            <w:tcW w:type="dxa" w:w="3402"/>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Depósito legal de constitución (permanece en cuenta de tesorería operativa)</w:t>
            </w:r>
          </w:p>
        </w:tc>
        <w:tc>
          <w:tcPr>
            <w:tcW w:type="dxa" w:w="1984"/>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3.000 €</w:t>
            </w:r>
          </w:p>
        </w:tc>
      </w:tr>
      <w:tr>
        <w:tc>
          <w:tcPr>
            <w:tcW w:type="dxa" w:w="3685"/>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Protección Marca Comunitaria (EUIPO)</w:t>
            </w:r>
          </w:p>
        </w:tc>
        <w:tc>
          <w:tcPr>
            <w:tcW w:type="dxa" w:w="3402"/>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Registro formal de marca en 27 países de la UE (clases 9 y 36)</w:t>
            </w:r>
          </w:p>
        </w:tc>
        <w:tc>
          <w:tcPr>
            <w:tcW w:type="dxa" w:w="1984"/>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850 - 1.050 €</w:t>
            </w:r>
          </w:p>
        </w:tc>
      </w:tr>
      <w:tr>
        <w:tc>
          <w:tcPr>
            <w:tcW w:type="dxa" w:w="3685"/>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Infraestructura Servidores Producción</w:t>
            </w:r>
          </w:p>
        </w:tc>
        <w:tc>
          <w:tcPr>
            <w:tcW w:type="dxa" w:w="3402"/>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Hetzner Dedicated, FastAPI, DuckDB/PostgreSQL, Redis, Cloudflare WAF</w:t>
            </w:r>
          </w:p>
        </w:tc>
        <w:tc>
          <w:tcPr>
            <w:tcW w:type="dxa" w:w="1984"/>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1.920 - 2.880 €</w:t>
            </w:r>
          </w:p>
        </w:tc>
      </w:tr>
      <w:tr>
        <w:tc>
          <w:tcPr>
            <w:tcW w:type="dxa" w:w="3685"/>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Gestoría, Asesoría Fiscal y Mercantil</w:t>
            </w:r>
          </w:p>
        </w:tc>
        <w:tc>
          <w:tcPr>
            <w:tcW w:type="dxa" w:w="3402"/>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Llevanza contable oficial, liquidaciones IVA/IRPF e Impuesto Sociedades</w:t>
            </w:r>
          </w:p>
        </w:tc>
        <w:tc>
          <w:tcPr>
            <w:tcW w:type="dxa" w:w="1984"/>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1.440 - 1.920 €</w:t>
            </w:r>
          </w:p>
        </w:tc>
      </w:tr>
      <w:tr>
        <w:tc>
          <w:tcPr>
            <w:tcW w:type="dxa" w:w="3685"/>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Autónomo Societario / Seguridad Social</w:t>
            </w:r>
          </w:p>
        </w:tc>
        <w:tc>
          <w:tcPr>
            <w:tcW w:type="dxa" w:w="3402"/>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Cotización administrador (tarifa plana inicial o base mínima bonificada)</w:t>
            </w:r>
          </w:p>
        </w:tc>
        <w:tc>
          <w:tcPr>
            <w:tcW w:type="dxa" w:w="1984"/>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1.020 - 3.600 €</w:t>
            </w:r>
          </w:p>
        </w:tc>
      </w:tr>
      <w:tr>
        <w:tc>
          <w:tcPr>
            <w:tcW w:type="dxa" w:w="3685"/>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Partida Salida Grupos UMU (Fase 1)</w:t>
            </w:r>
          </w:p>
        </w:tc>
        <w:tc>
          <w:tcPr>
            <w:tcW w:type="dxa" w:w="3402"/>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Paquetes de trabajo con estudiantes UMU: QA, etiquetado y soporte inicial</w:t>
            </w:r>
          </w:p>
        </w:tc>
        <w:tc>
          <w:tcPr>
            <w:tcW w:type="dxa" w:w="1984"/>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2.500 €</w:t>
            </w:r>
          </w:p>
        </w:tc>
      </w:tr>
      <w:tr>
        <w:tc>
          <w:tcPr>
            <w:tcW w:type="dxa" w:w="3685"/>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Colaboraciones Continuas Estudiantes UMU</w:t>
            </w:r>
          </w:p>
        </w:tc>
        <w:tc>
          <w:tcPr>
            <w:tcW w:type="dxa" w:w="3402"/>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Remuneración continuada a 2 estudiantes activos UMU en Fases 2 y 3 (9 meses)</w:t>
            </w:r>
          </w:p>
        </w:tc>
        <w:tc>
          <w:tcPr>
            <w:tcW w:type="dxa" w:w="1984"/>
            <w:shd w:fill="F7FAFC"/>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9.000 - 10.800 €</w:t>
            </w:r>
          </w:p>
        </w:tc>
      </w:tr>
      <w:tr>
        <w:tc>
          <w:tcPr>
            <w:tcW w:type="dxa" w:w="3685"/>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Marketing Técnico, Pasarelas y Seguros</w:t>
            </w:r>
          </w:p>
        </w:tc>
        <w:tc>
          <w:tcPr>
            <w:tcW w:type="dxa" w:w="3402"/>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pPr>
            <w:r>
              <w:rPr>
                <w:rFonts w:ascii="Arial" w:hAnsi="Arial"/>
                <w:sz w:val="16"/>
              </w:rPr>
              <w:t>Vídeo manifiesto, microcampañas, Stripe/Redsys y Seguro Responsabilidad Civil</w:t>
            </w:r>
          </w:p>
        </w:tc>
        <w:tc>
          <w:tcPr>
            <w:tcW w:type="dxa" w:w="1984"/>
            <w:shd w:fill="FFFFFF"/>
            <w:tcMar>
              <w:top w:w="35" w:type="dxa"/>
              <w:bottom w:w="35" w:type="dxa"/>
              <w:left w:w="60" w:type="dxa"/>
              <w:right w:w="60" w:type="dxa"/>
            </w:tcMar>
            <w:tcBorders>
              <w:top w:val="single" w:sz="4" w:space="0" w:color="E2E8F0"/>
              <w:bottom w:val="single" w:sz="4" w:space="0" w:color="E2E8F0"/>
              <w:left w:val="single" w:sz="4" w:space="0" w:color="E2E8F0"/>
              <w:right w:val="single" w:sz="4" w:space="0" w:color="E2E8F0"/>
            </w:tcBorders>
          </w:tcPr>
          <w:p>
            <w:pPr>
              <w:spacing w:line="259" w:lineRule="auto" w:after="20"/>
              <w:jc w:val="right"/>
            </w:pPr>
            <w:r>
              <w:rPr>
                <w:rFonts w:ascii="Arial" w:hAnsi="Arial"/>
                <w:b/>
                <w:color w:val="1A365D"/>
                <w:sz w:val="16"/>
              </w:rPr>
              <w:t>2.400 - 3.750 €</w:t>
            </w:r>
          </w:p>
        </w:tc>
      </w:tr>
    </w:tbl>
    <w:p>
      <w:pPr>
        <w:spacing w:before="60" w:after="80" w:line="269" w:lineRule="auto"/>
      </w:pPr>
      <w:r>
        <w:rPr>
          <w:b/>
          <w:sz w:val="17"/>
        </w:rPr>
        <w:t>Total Presupuesto Operativo Año 1: 22.480 € a 28.500 € (media de 1.850 € a 2.400 €/mes). Destaca que más del 40% del presupuesto total (11.500 €) revierte de forma directa en el estudiantado de la Universidad de Murcia.</w:t>
      </w:r>
    </w:p>
    <w:p>
      <w:pPr>
        <w:spacing w:line="276" w:lineRule="auto" w:after="120"/>
      </w:pPr>
      <w:r>
        <w:t>El análisis del umbral de rentabilidad arroja dos niveles de equilibrio rigurosamente modelizados:</w:t>
        <w:br/>
        <w:t>• Nivel 1: Punto de Equilibrio de Supervivencia Estricta (Breakeven Cero · 24.000 €/año). Cubre los costes operativos (~2.000 €/mes) con solo: 3 gestoras boutique suscritas a la API ARGOS Pro (12.000 €), 30 usuarios particulares en Stater Pro (7.200 €), 10 aperturas mensuales en brokers regulados (3.600 €) y 10 matrículas en formación especializada (1.000 €). Total: 24.300 €/año.</w:t>
        <w:br/>
        <w:t>• Nivel 2: Punto de Equilibrio Ideal de Holgura y Reinversión (86.000 €/año · 7.166 €/mes). Garantiza la autonomía total para financiar la expansión a toda Europa y dotar el programa de becas sociales sin depender de rondas de inversión dilutivas: 46% Motor B2B Institucional (40.000 €), 28% Retail Avanzado (24.000 €), 14% Formación Luminic (12.000 €) y 12% Afiliación Ética y Software Complementario (10.000 €).</w:t>
      </w:r>
    </w:p>
    <w:p>
      <w:pPr>
        <w:spacing w:before="160" w:after="60"/>
      </w:pPr>
      <w:r>
        <w:rPr>
          <w:rFonts w:ascii="Arial" w:hAnsi="Arial"/>
          <w:b/>
          <w:color w:val="1A365D"/>
          <w:sz w:val="22"/>
        </w:rPr>
        <w:t>6. IMPACTO SOCIAL, RETORNO TERRITORIAL Y EJE YUNUS DE EMPRENDIMIENTO SOCIAL</w:t>
      </w:r>
    </w:p>
    <w:tbl>
      <w:tblPr>
        <w:tblW w:type="auto" w:w="0"/>
        <w:jc w:val="center"/>
        <w:tblLook w:firstColumn="1" w:firstRow="1" w:lastColumn="0" w:lastRow="0" w:noHBand="0" w:noVBand="1" w:val="04A0"/>
      </w:tblPr>
      <w:tblGrid>
        <w:gridCol w:w="9406"/>
      </w:tblGrid>
      <w:tr>
        <w:tc>
          <w:tcPr>
            <w:tcW w:type="dxa" w:w="9071"/>
            <w:shd w:fill="F7FAFC"/>
            <w:tcBorders>
              <w:top w:val="none"/>
              <w:bottom w:val="none"/>
              <w:left w:val="single" w:sz="24" w:space="0" w:color="1A365D"/>
              <w:right w:val="none"/>
            </w:tcBorders>
            <w:tcMar>
              <w:top w:w="100" w:type="dxa"/>
              <w:bottom w:w="100" w:type="dxa"/>
              <w:left w:w="160" w:type="dxa"/>
              <w:right w:w="120" w:type="dxa"/>
            </w:tcMar>
          </w:tcPr>
          <w:p>
            <w:pPr>
              <w:spacing w:before="20" w:after="60"/>
            </w:pPr>
            <w:r>
              <w:rPr>
                <w:rFonts w:ascii="Arial" w:hAnsi="Arial"/>
                <w:b/>
                <w:color w:val="1A365D"/>
                <w:sz w:val="19"/>
              </w:rPr>
              <w:t>⚡ GUÍA DE ARTICULACIÓN DEL IMPACTO SOCIAL (EJE YUNUS)</w:t>
              <w:br/>
            </w:r>
          </w:p>
          <w:p>
            <w:pPr>
              <w:spacing w:before="20" w:after="40" w:line="269" w:lineRule="auto"/>
            </w:pPr>
            <w:r>
              <w:rPr>
                <w:rFonts w:ascii="Arial" w:hAnsi="Arial"/>
                <w:b/>
                <w:color w:val="2B6CB0"/>
                <w:sz w:val="18"/>
              </w:rPr>
              <w:t xml:space="preserve">• Tesis Central para el Jurado: </w:t>
            </w:r>
            <w:r>
              <w:rPr>
                <w:rFonts w:ascii="Arial" w:hAnsi="Arial"/>
                <w:color w:val="2D3748"/>
                <w:sz w:val="18"/>
              </w:rPr>
              <w:t>Este es el corazón ético de STATER: una empresa concebida bajo la visión del Nobel Muhammad Yunus para erradicar la asimetría informativa y la exclusión financiera mediante la sostenibilidad económica de mercado.</w:t>
            </w:r>
          </w:p>
          <w:p>
            <w:pPr>
              <w:spacing w:before="20" w:after="40" w:line="269" w:lineRule="auto"/>
            </w:pPr>
            <w:r>
              <w:rPr>
                <w:rFonts w:ascii="Arial" w:hAnsi="Arial"/>
                <w:b/>
                <w:color w:val="2B6CB0"/>
                <w:sz w:val="18"/>
              </w:rPr>
              <w:t xml:space="preserve">• El Tier Gratuito Ampliable Universal: </w:t>
            </w:r>
            <w:r>
              <w:rPr>
                <w:rFonts w:ascii="Arial" w:hAnsi="Arial"/>
                <w:color w:val="2D3748"/>
                <w:sz w:val="18"/>
              </w:rPr>
              <w:t>Garantía estatutaria de que cualquier ciudadano, desempleado o familia tiene acceso perpetuo y gratuito al semáforo de solvencia y auditoría de cualquier empresa cotizada, protegiéndose de fraudes y malas praxis.</w:t>
            </w:r>
          </w:p>
          <w:p>
            <w:pPr>
              <w:spacing w:before="20" w:after="40" w:line="269" w:lineRule="auto"/>
            </w:pPr>
            <w:r>
              <w:rPr>
                <w:rFonts w:ascii="Arial" w:hAnsi="Arial"/>
                <w:b/>
                <w:color w:val="2B6CB0"/>
                <w:sz w:val="18"/>
              </w:rPr>
              <w:t xml:space="preserve">• Fondo de Becas de Formación y Datos: </w:t>
            </w:r>
            <w:r>
              <w:rPr>
                <w:rFonts w:ascii="Arial" w:hAnsi="Arial"/>
                <w:color w:val="2D3748"/>
                <w:sz w:val="18"/>
              </w:rPr>
              <w:t>Dotación formal para becar al 100% en programas de programación en Python, IA y finanzas cuantitativas a jóvenes en situación de vulnerabilidad o desamparo social, dotándoles de competencias de alta empleabilidad.</w:t>
            </w:r>
          </w:p>
          <w:p>
            <w:pPr>
              <w:spacing w:before="20" w:after="40" w:line="269" w:lineRule="auto"/>
            </w:pPr>
            <w:r>
              <w:rPr>
                <w:rFonts w:ascii="Arial" w:hAnsi="Arial"/>
                <w:b/>
                <w:color w:val="2B6CB0"/>
                <w:sz w:val="18"/>
              </w:rPr>
              <w:t xml:space="preserve">• Retorno a la Universidad de Murcia: </w:t>
            </w:r>
            <w:r>
              <w:rPr>
                <w:rFonts w:ascii="Arial" w:hAnsi="Arial"/>
                <w:color w:val="2D3748"/>
                <w:sz w:val="18"/>
              </w:rPr>
              <w:t>Sede corporativa en la Región de Murcia, empleo técnico remunerado para alumnos de la UMU, cesión de datos para investigación de vanguardia y creación del primer Observatorio de Transparencia Financiera Europeo en la UMU.</w:t>
            </w:r>
          </w:p>
        </w:tc>
      </w:tr>
    </w:tbl>
    <w:p>
      <w:pPr>
        <w:spacing w:before="0" w:after="40"/>
      </w:pPr>
    </w:p>
    <w:p>
      <w:pPr>
        <w:spacing w:line="276" w:lineRule="auto" w:after="80"/>
      </w:pPr>
      <w:r>
        <w:t>STATER asume los principios de la economía social y la visión del Premio Nobel de la Paz Muhammad Yunus: el éxito empresarial se mide por la magnitud de la injusticia social que logra corregir. La mayor brecha de desigualdad contemporánea es la asimetría en el acceso a la verdad de los datos económicos. Mientras las élites disponen de terminales de información privilegiada para preservar y multiplicar su capital, las clases trabajadoras y los pequeños ahorradores carecen de escudos analíticos, convirtiéndose en víctimas recurrentes de productos bancarios opacos o fraudes de inversión piramidales. STATER articula su impacto social en tres pilares innegociables:</w:t>
      </w:r>
    </w:p>
    <w:p>
      <w:pPr>
        <w:spacing w:line="276" w:lineRule="auto" w:after="80"/>
      </w:pPr>
      <w:r>
        <w:t>1. Democratización Universal del Acceso (Tier Gratuito Permanente): La infraestructura pública de STATER permanecerá siempre libre y accesible para cualquier ciudadano. Cualquier persona podrá consultar de forma gratuita el semáforo de solvencia, los márgenes operativos reales y las alertas de auditoría de cualquier empresa cotizada en España y Europa, erradicando el monopolio de las terminales de pago.</w:t>
        <w:br/>
        <w:br/>
        <w:t>2. Fondo de Becas de Formación Cuantitativa y Acceso a Datos para Colectivos en Vulnerabilidad: STATER destinará estatutariamente un porcentaje de los ingresos del motor B2B institucional a financiar becas integrales de capacitación en programación en Python, modelización financiera e inteligencia artificial en Luminic Finance. Estas becas se destinarán a jóvenes y estudiantes en situaciones de desamparo económico o exclusión social, otorgándoles licencias premium gratuitas y preparándolos para competir en igualdad de condiciones en el mercado laboral fintech internacional.</w:t>
        <w:br/>
        <w:br/>
        <w:t>3. Alianza Estratégica, Empleo y Retorno Territorial con la Universidad de Murcia: STATER se compromete formalmente a mantener su sede y centro de desarrollo en la Región de Murcia. Más del 40% de su presupuesto operativo inicial (11.500 €) se destina a la remuneración directa de estudiantes de la UMU para labores de ingeniería de datos y control de calidad. Asimismo, cederá gratuitamente sus datasets paneuropeos limpios a los departamentos universitarios para tesis doctorales y proyectos de investigación, situando a la Universidad de Murcia a la vanguardia europea de la transparencia corporativa.</w:t>
      </w:r>
    </w:p>
    <w:sectPr w:rsidR="00FC693F" w:rsidRPr="0006063C" w:rsidSect="00034616">
      <w:headerReference w:type="default" r:id="rId9"/>
      <w:footerReference w:type="default" r:id="rId10"/>
      <w:pgSz w:w="12240" w:h="15840"/>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Universidad de Murcia · Vicerrectorado de Estudiantes y Empleo · Documento Oficial de Candidatura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STATER Financial Technologies | Convocatoria Talento Umuemprende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1809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A0AEC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