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6583680" cy="4032504"/>
            <wp:docPr id="1" name="Picture 1"/>
            <wp:cNvGraphicFramePr>
              <a:graphicFrameLocks noChangeAspect="1"/>
            </wp:cNvGraphicFramePr>
            <a:graphic>
              <a:graphicData uri="http://schemas.openxmlformats.org/drawingml/2006/picture">
                <pic:pic>
                  <pic:nvPicPr>
                    <pic:cNvPr id="0" name="cover_hero.png"/>
                    <pic:cNvPicPr/>
                  </pic:nvPicPr>
                  <pic:blipFill>
                    <a:blip r:embed="rId9"/>
                    <a:stretch>
                      <a:fillRect/>
                    </a:stretch>
                  </pic:blipFill>
                  <pic:spPr>
                    <a:xfrm>
                      <a:off x="0" y="0"/>
                      <a:ext cx="6583680" cy="4032504"/>
                    </a:xfrm>
                    <a:prstGeom prst="rect"/>
                  </pic:spPr>
                </pic:pic>
              </a:graphicData>
            </a:graphic>
          </wp:inline>
        </w:drawing>
      </w:r>
    </w:p>
    <w:p>
      <w:pPr>
        <w:spacing w:before="160" w:after="40" w:line="240" w:lineRule="auto"/>
        <w:jc w:val="center"/>
      </w:pPr>
      <w:r>
        <w:rPr>
          <w:rFonts w:ascii="Aptos" w:hAnsi="Aptos" w:eastAsia="Aptos"/>
          <w:b/>
          <w:i w:val="0"/>
          <w:color w:val="4C1D95"/>
          <w:sz w:val="48"/>
        </w:rPr>
        <w:t>GUIA DEFINITIVA DE OPERACION</w:t>
      </w:r>
    </w:p>
    <w:p>
      <w:pPr>
        <w:spacing w:before="0" w:after="80" w:line="240" w:lineRule="auto"/>
        <w:jc w:val="center"/>
      </w:pPr>
      <w:r>
        <w:rPr>
          <w:rFonts w:ascii="Aptos" w:hAnsi="Aptos" w:eastAsia="Aptos"/>
          <w:b/>
          <w:i w:val="0"/>
          <w:color w:val="111827"/>
          <w:sz w:val="56"/>
        </w:rPr>
        <w:t>AkriPharmacy v19</w:t>
      </w:r>
    </w:p>
    <w:p>
      <w:pPr>
        <w:spacing w:before="0" w:after="120" w:line="276" w:lineRule="auto"/>
        <w:jc w:val="center"/>
      </w:pPr>
      <w:r>
        <w:rPr>
          <w:rFonts w:ascii="Aptos" w:hAnsi="Aptos" w:eastAsia="Aptos"/>
          <w:b w:val="0"/>
          <w:i w:val="0"/>
          <w:color w:val="64748B"/>
          <w:sz w:val="24"/>
        </w:rPr>
        <w:t>ERP de gestion de inventario farmaceutico con multisede, dispensacion, cadena de frio, solicitudes a central, control de perfiles, trazabilidad completa y centro operativo integrado.</w:t>
      </w:r>
    </w:p>
    <w:tbl>
      <w:tblPr>
        <w:tblW w:type="auto" w:w="0"/>
        <w:jc w:val="center"/>
        <w:tblLook w:firstColumn="1" w:firstRow="1" w:lastColumn="0" w:lastRow="0" w:noHBand="0" w:noVBand="1" w:val="04A0"/>
      </w:tblPr>
      <w:tblGrid>
        <w:gridCol w:w="10092"/>
      </w:tblGrid>
      <w:tr>
        <w:tc>
          <w:tcPr>
            <w:tcW w:type="dxa" w:w="10092"/>
            <w:shd w:fill="F5F3FF"/>
            <w:tcBorders>
              <w:left w:val="single" w:sz="12" w:color="6D28D9"/>
              <w:top w:val="single" w:sz="12" w:color="6D28D9"/>
              <w:right w:val="single" w:sz="12" w:color="6D28D9"/>
              <w:bottom w:val="single" w:sz="12" w:color="6D28D9"/>
            </w:tcBorders>
          </w:tcPr>
          <w:p>
            <w:pPr>
              <w:spacing w:before="40" w:after="40" w:line="276" w:lineRule="auto"/>
            </w:pPr>
            <w:r>
              <w:rPr>
                <w:rFonts w:ascii="Aptos" w:hAnsi="Aptos" w:eastAsia="Aptos"/>
                <w:b/>
                <w:i w:val="0"/>
                <w:color w:val="6D28D9"/>
                <w:sz w:val="21"/>
              </w:rPr>
              <w:t xml:space="preserve">Alcance: </w:t>
            </w:r>
            <w:r>
              <w:rPr>
                <w:rFonts w:ascii="Aptos" w:hAnsi="Aptos" w:eastAsia="Aptos"/>
                <w:b w:val="0"/>
                <w:i w:val="0"/>
                <w:color w:val="111827"/>
                <w:sz w:val="20"/>
              </w:rPr>
              <w:t>Esta guia describe el funcionamiento operativo diario, el gobierno multisede, la administracion de perfiles, el comportamiento del inventario local y general, la solicitud de compra entre sedes y los criterios de trazabilidad de procesos terminados.</w:t>
            </w:r>
          </w:p>
        </w:tc>
      </w:tr>
    </w:tbl>
    <w:p/>
    <w:p>
      <w:pPr>
        <w:spacing w:before="200" w:after="40" w:line="240" w:lineRule="auto"/>
        <w:jc w:val="center"/>
      </w:pPr>
      <w:r>
        <w:rPr>
          <w:rFonts w:ascii="Aptos" w:hAnsi="Aptos" w:eastAsia="Aptos"/>
          <w:b w:val="0"/>
          <w:i w:val="0"/>
          <w:color w:val="64748B"/>
          <w:sz w:val="22"/>
        </w:rPr>
        <w:t>Version funcional: v19</w:t>
      </w:r>
    </w:p>
    <w:p>
      <w:pPr>
        <w:spacing w:before="0" w:after="0" w:line="240" w:lineRule="auto"/>
        <w:jc w:val="center"/>
      </w:pPr>
      <w:r>
        <w:rPr>
          <w:rFonts w:ascii="Aptos" w:hAnsi="Aptos" w:eastAsia="Aptos"/>
          <w:b w:val="0"/>
          <w:i w:val="0"/>
          <w:color w:val="64748B"/>
          <w:sz w:val="21"/>
        </w:rPr>
        <w:t>Frontend Angular + widgets operativos | Backend Node/Express | MariaDB 11.8.3</w:t>
      </w:r>
    </w:p>
    <w:p>
      <w:r>
        <w:br w:type="page"/>
      </w:r>
    </w:p>
    <w:p>
      <w:pPr>
        <w:spacing w:before="200" w:after="120" w:line="264" w:lineRule="auto"/>
      </w:pPr>
      <w:r>
        <w:rPr>
          <w:rFonts w:ascii="Aptos" w:hAnsi="Aptos" w:eastAsia="Aptos"/>
          <w:b/>
          <w:i w:val="0"/>
          <w:color w:val="4C1D95"/>
          <w:sz w:val="40"/>
        </w:rPr>
        <w:t>1. Vision operativa del sistema</w:t>
      </w:r>
    </w:p>
    <w:p>
      <w:pPr>
        <w:spacing w:before="40" w:after="160" w:line="288" w:lineRule="auto"/>
      </w:pPr>
      <w:r>
        <w:rPr>
          <w:rFonts w:ascii="Aptos" w:hAnsi="Aptos" w:eastAsia="Aptos"/>
          <w:b/>
          <w:i w:val="0"/>
          <w:color w:val="111827"/>
          <w:sz w:val="21"/>
        </w:rPr>
        <w:t xml:space="preserve">AkriPharmacy v19 </w:t>
      </w:r>
      <w:r>
        <w:rPr>
          <w:rFonts w:ascii="Aptos" w:hAnsi="Aptos" w:eastAsia="Aptos"/>
          <w:b w:val="0"/>
          <w:i w:val="0"/>
          <w:color w:val="111827"/>
          <w:sz w:val="21"/>
        </w:rPr>
        <w:t xml:space="preserve">trabaja con dos niveles de inventario: </w:t>
      </w:r>
      <w:r>
        <w:rPr>
          <w:rFonts w:ascii="Aptos" w:hAnsi="Aptos" w:eastAsia="Aptos"/>
          <w:b/>
          <w:i w:val="0"/>
          <w:color w:val="4C1D95"/>
          <w:sz w:val="21"/>
        </w:rPr>
        <w:t>inventario local por sede</w:t>
      </w:r>
      <w:r>
        <w:rPr>
          <w:rFonts w:ascii="Aptos" w:hAnsi="Aptos" w:eastAsia="Aptos"/>
          <w:b w:val="0"/>
          <w:i w:val="0"/>
          <w:color w:val="111827"/>
          <w:sz w:val="21"/>
        </w:rPr>
        <w:t xml:space="preserve"> y </w:t>
      </w:r>
      <w:r>
        <w:rPr>
          <w:rFonts w:ascii="Aptos" w:hAnsi="Aptos" w:eastAsia="Aptos"/>
          <w:b/>
          <w:i w:val="0"/>
          <w:color w:val="4C1D95"/>
          <w:sz w:val="21"/>
        </w:rPr>
        <w:t>inventario general consolidado</w:t>
      </w:r>
      <w:r>
        <w:rPr>
          <w:rFonts w:ascii="Aptos" w:hAnsi="Aptos" w:eastAsia="Aptos"/>
          <w:b w:val="0"/>
          <w:i w:val="0"/>
          <w:color w:val="111827"/>
          <w:sz w:val="22"/>
        </w:rPr>
        <w:t>. Cada sede conserva su propio ingreso, egreso, dispensacion, cadena de frio y trazabilidad; al mismo tiempo, el nivel central visualiza la suma global de existencias y administra la compra a proveedor.</w:t>
      </w:r>
    </w:p>
    <w:p>
      <w:pPr>
        <w:pStyle w:val="ListBullet"/>
        <w:spacing w:before="0" w:after="40" w:line="276" w:lineRule="auto"/>
        <w:ind w:left="0"/>
      </w:pPr>
      <w:r>
        <w:rPr>
          <w:rFonts w:ascii="Aptos" w:hAnsi="Aptos" w:eastAsia="Aptos"/>
          <w:b w:val="0"/>
          <w:i w:val="0"/>
          <w:color w:val="111827"/>
          <w:sz w:val="21"/>
        </w:rPr>
        <w:t>La sede central es la unica autorizada para emitir ordenes de compra externas.</w:t>
      </w:r>
    </w:p>
    <w:p>
      <w:pPr>
        <w:pStyle w:val="ListBullet"/>
        <w:spacing w:before="0" w:after="40" w:line="276" w:lineRule="auto"/>
        <w:ind w:left="0"/>
      </w:pPr>
      <w:r>
        <w:rPr>
          <w:rFonts w:ascii="Aptos" w:hAnsi="Aptos" w:eastAsia="Aptos"/>
          <w:b w:val="0"/>
          <w:i w:val="0"/>
          <w:color w:val="111827"/>
          <w:sz w:val="21"/>
        </w:rPr>
        <w:t>Las sedes perifericas solicitan abastecimiento al nivel central mediante el indicador superior "solicitud de compra".</w:t>
      </w:r>
    </w:p>
    <w:p>
      <w:pPr>
        <w:pStyle w:val="ListBullet"/>
        <w:spacing w:before="0" w:after="40" w:line="276" w:lineRule="auto"/>
        <w:ind w:left="0"/>
      </w:pPr>
      <w:r>
        <w:rPr>
          <w:rFonts w:ascii="Aptos" w:hAnsi="Aptos" w:eastAsia="Aptos"/>
          <w:b w:val="0"/>
          <w:i w:val="0"/>
          <w:color w:val="111827"/>
          <w:sz w:val="21"/>
        </w:rPr>
        <w:t>Los perfiles y usabilidades son administrados por el administrador principal.</w:t>
      </w:r>
    </w:p>
    <w:p>
      <w:pPr>
        <w:pStyle w:val="ListBullet"/>
        <w:spacing w:before="0" w:after="40" w:line="276" w:lineRule="auto"/>
        <w:ind w:left="0"/>
      </w:pPr>
      <w:r>
        <w:rPr>
          <w:rFonts w:ascii="Aptos" w:hAnsi="Aptos" w:eastAsia="Aptos"/>
          <w:b w:val="0"/>
          <w:i w:val="0"/>
          <w:color w:val="111827"/>
          <w:sz w:val="21"/>
        </w:rPr>
        <w:t>Cada proceso terminado registra usuario, perfil, sede, fecha, referencia y estado.</w:t>
      </w:r>
    </w:p>
    <w:p>
      <w:r>
        <w:drawing>
          <wp:inline xmlns:a="http://schemas.openxmlformats.org/drawingml/2006/main" xmlns:pic="http://schemas.openxmlformats.org/drawingml/2006/picture">
            <wp:extent cx="6217920" cy="3886200"/>
            <wp:docPr id="2" name="Picture 2"/>
            <wp:cNvGraphicFramePr>
              <a:graphicFrameLocks noChangeAspect="1"/>
            </wp:cNvGraphicFramePr>
            <a:graphic>
              <a:graphicData uri="http://schemas.openxmlformats.org/drawingml/2006/picture">
                <pic:pic>
                  <pic:nvPicPr>
                    <pic:cNvPr id="0" name="multisite_architecture.png"/>
                    <pic:cNvPicPr/>
                  </pic:nvPicPr>
                  <pic:blipFill>
                    <a:blip r:embed="rId10"/>
                    <a:stretch>
                      <a:fillRect/>
                    </a:stretch>
                  </pic:blipFill>
                  <pic:spPr>
                    <a:xfrm>
                      <a:off x="0" y="0"/>
                      <a:ext cx="6217920" cy="3886200"/>
                    </a:xfrm>
                    <a:prstGeom prst="rect"/>
                  </pic:spPr>
                </pic:pic>
              </a:graphicData>
            </a:graphic>
          </wp:inline>
        </w:drawing>
      </w:r>
    </w:p>
    <w:p>
      <w:pPr>
        <w:spacing w:before="40" w:after="160" w:line="240" w:lineRule="auto"/>
        <w:jc w:val="center"/>
      </w:pPr>
      <w:r>
        <w:rPr>
          <w:rFonts w:ascii="Aptos" w:hAnsi="Aptos" w:eastAsia="Aptos"/>
          <w:b w:val="0"/>
          <w:i/>
          <w:color w:val="64748B"/>
          <w:sz w:val="19"/>
        </w:rPr>
        <w:t>Figura 1. Arquitectura operativa: catalogo global, inventarios locales, consolidado general y gobierno central.</w:t>
      </w:r>
    </w:p>
    <w:tbl>
      <w:tblPr>
        <w:tblW w:type="auto" w:w="0"/>
        <w:jc w:val="center"/>
        <w:tblLook w:firstColumn="1" w:firstRow="1" w:lastColumn="0" w:lastRow="0" w:noHBand="0" w:noVBand="1" w:val="04A0"/>
      </w:tblPr>
      <w:tblGrid>
        <w:gridCol w:w="10092"/>
      </w:tblGrid>
      <w:tr>
        <w:tc>
          <w:tcPr>
            <w:tcW w:type="dxa" w:w="10092"/>
            <w:shd w:fill="EFF6FF"/>
            <w:tcBorders>
              <w:left w:val="single" w:sz="12" w:color="1D4ED8"/>
              <w:top w:val="single" w:sz="12" w:color="1D4ED8"/>
              <w:right w:val="single" w:sz="12" w:color="1D4ED8"/>
              <w:bottom w:val="single" w:sz="12" w:color="1D4ED8"/>
            </w:tcBorders>
          </w:tcPr>
          <w:p>
            <w:pPr>
              <w:spacing w:before="40" w:after="40" w:line="276" w:lineRule="auto"/>
            </w:pPr>
            <w:r>
              <w:rPr>
                <w:rFonts w:ascii="Aptos" w:hAnsi="Aptos" w:eastAsia="Aptos"/>
                <w:b/>
                <w:i w:val="0"/>
                <w:color w:val="1D4ED8"/>
                <w:sz w:val="21"/>
              </w:rPr>
              <w:t xml:space="preserve">Regla troncal: </w:t>
            </w:r>
            <w:r>
              <w:rPr>
                <w:rFonts w:ascii="Aptos" w:hAnsi="Aptos" w:eastAsia="Aptos"/>
                <w:b w:val="0"/>
                <w:i w:val="0"/>
                <w:color w:val="111827"/>
                <w:sz w:val="20"/>
              </w:rPr>
              <w:t>La creacion de una sede no duplica catalogos manualmente: provisiona estructura local equivalente a la central y la integra a las vistas de inventario general.</w:t>
            </w:r>
          </w:p>
        </w:tc>
      </w:tr>
    </w:tbl>
    <w:p/>
    <w:p>
      <w:pPr>
        <w:spacing w:before="200" w:after="120" w:line="264" w:lineRule="auto"/>
      </w:pPr>
      <w:r>
        <w:rPr>
          <w:rFonts w:ascii="Aptos" w:hAnsi="Aptos" w:eastAsia="Aptos"/>
          <w:b/>
          <w:i w:val="0"/>
          <w:color w:val="4C1D95"/>
          <w:sz w:val="40"/>
        </w:rPr>
        <w:t>2. Inicio de sesion y seleccion de sede</w:t>
      </w:r>
    </w:p>
    <w:p>
      <w:pPr>
        <w:spacing w:before="40" w:after="160" w:line="288" w:lineRule="auto"/>
      </w:pPr>
      <w:r>
        <w:rPr>
          <w:rFonts w:ascii="Aptos" w:hAnsi="Aptos" w:eastAsia="Aptos"/>
          <w:b w:val="0"/>
          <w:i w:val="0"/>
          <w:color w:val="111827"/>
          <w:sz w:val="22"/>
        </w:rPr>
        <w:t>El usuario se autentica con sus credenciales corporativas. Si tiene acceso a una sola sede, la sesion se asocia automaticamente. Si tiene varias sedes autorizadas, el sistema fuerza la eleccion de sede antes de operar. Esa seleccion define el alcance local del inventario, la dispensacion, la trazabilidad y las solicitudes a central.</w:t>
      </w:r>
    </w:p>
    <w:p>
      <w:r>
        <w:drawing>
          <wp:inline xmlns:a="http://schemas.openxmlformats.org/drawingml/2006/main" xmlns:pic="http://schemas.openxmlformats.org/drawingml/2006/picture">
            <wp:extent cx="6309360" cy="3549015"/>
            <wp:docPr id="3" name="Picture 3"/>
            <wp:cNvGraphicFramePr>
              <a:graphicFrameLocks noChangeAspect="1"/>
            </wp:cNvGraphicFramePr>
            <a:graphic>
              <a:graphicData uri="http://schemas.openxmlformats.org/drawingml/2006/picture">
                <pic:pic>
                  <pic:nvPicPr>
                    <pic:cNvPr id="0" name="mock_site_selection_modal.png"/>
                    <pic:cNvPicPr/>
                  </pic:nvPicPr>
                  <pic:blipFill>
                    <a:blip r:embed="rId11"/>
                    <a:stretch>
                      <a:fillRect/>
                    </a:stretch>
                  </pic:blipFill>
                  <pic:spPr>
                    <a:xfrm>
                      <a:off x="0" y="0"/>
                      <a:ext cx="6309360" cy="3549015"/>
                    </a:xfrm>
                    <a:prstGeom prst="rect"/>
                  </pic:spPr>
                </pic:pic>
              </a:graphicData>
            </a:graphic>
          </wp:inline>
        </w:drawing>
      </w:r>
    </w:p>
    <w:p>
      <w:pPr>
        <w:spacing w:before="40" w:after="160" w:line="240" w:lineRule="auto"/>
        <w:jc w:val="center"/>
      </w:pPr>
      <w:r>
        <w:rPr>
          <w:rFonts w:ascii="Aptos" w:hAnsi="Aptos" w:eastAsia="Aptos"/>
          <w:b w:val="0"/>
          <w:i/>
          <w:color w:val="64748B"/>
          <w:sz w:val="19"/>
        </w:rPr>
        <w:t>Figura 2. Seleccion obligatoria de sede cuando el usuario posee autorizacion multipunto.</w:t>
      </w:r>
    </w:p>
    <w:tbl>
      <w:tblPr>
        <w:tblStyle w:val="TableGrid"/>
        <w:tblW w:type="auto" w:w="0"/>
        <w:jc w:val="center"/>
        <w:tblLook w:firstColumn="1" w:firstRow="1" w:lastColumn="0" w:lastRow="0" w:noHBand="0" w:noVBand="1" w:val="04A0"/>
      </w:tblPr>
      <w:tblGrid>
        <w:gridCol w:w="3364"/>
        <w:gridCol w:w="3364"/>
        <w:gridCol w:w="3364"/>
      </w:tblGrid>
      <w:tr>
        <w:tc>
          <w:tcPr>
            <w:tcW w:type="dxa" w:w="2381"/>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Situacion</w:t>
            </w:r>
          </w:p>
        </w:tc>
        <w:tc>
          <w:tcPr>
            <w:tcW w:type="dxa" w:w="4082"/>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Comportamiento del sistema</w:t>
            </w:r>
          </w:p>
        </w:tc>
        <w:tc>
          <w:tcPr>
            <w:tcW w:type="dxa" w:w="2381"/>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Resultado</w:t>
            </w:r>
          </w:p>
        </w:tc>
      </w:tr>
      <w:tr>
        <w:tc>
          <w:tcPr>
            <w:tcW w:type="dxa" w:w="2381"/>
            <w:vAlign w:val="center"/>
          </w:tcPr>
          <w:p>
            <w:pPr>
              <w:spacing w:before="20" w:after="20" w:line="264" w:lineRule="auto"/>
            </w:pPr>
            <w:r>
              <w:rPr>
                <w:rFonts w:ascii="Aptos" w:hAnsi="Aptos" w:eastAsia="Aptos"/>
                <w:b w:val="0"/>
                <w:i w:val="0"/>
                <w:color w:val="111827"/>
                <w:sz w:val="19"/>
              </w:rPr>
              <w:t>Usuario con una sede autorizada</w:t>
            </w:r>
          </w:p>
        </w:tc>
        <w:tc>
          <w:tcPr>
            <w:tcW w:type="dxa" w:w="4082"/>
            <w:vAlign w:val="center"/>
          </w:tcPr>
          <w:p>
            <w:pPr>
              <w:spacing w:before="20" w:after="20" w:line="264" w:lineRule="auto"/>
            </w:pPr>
            <w:r>
              <w:rPr>
                <w:rFonts w:ascii="Aptos" w:hAnsi="Aptos" w:eastAsia="Aptos"/>
                <w:b w:val="0"/>
                <w:i w:val="0"/>
                <w:color w:val="111827"/>
                <w:sz w:val="19"/>
              </w:rPr>
              <w:t>La sesion toma la sede predeterminada</w:t>
            </w:r>
          </w:p>
        </w:tc>
        <w:tc>
          <w:tcPr>
            <w:tcW w:type="dxa" w:w="2381"/>
            <w:vAlign w:val="center"/>
          </w:tcPr>
          <w:p>
            <w:pPr>
              <w:spacing w:before="20" w:after="20" w:line="264" w:lineRule="auto"/>
            </w:pPr>
            <w:r>
              <w:rPr>
                <w:rFonts w:ascii="Aptos" w:hAnsi="Aptos" w:eastAsia="Aptos"/>
                <w:b w:val="0"/>
                <w:i w:val="0"/>
                <w:color w:val="111827"/>
                <w:sz w:val="19"/>
              </w:rPr>
              <w:t>Acceso directo al dashboard</w:t>
            </w:r>
          </w:p>
        </w:tc>
      </w:tr>
      <w:tr>
        <w:tc>
          <w:tcPr>
            <w:tcW w:type="dxa" w:w="2381"/>
            <w:vAlign w:val="center"/>
          </w:tcPr>
          <w:p>
            <w:pPr>
              <w:spacing w:before="20" w:after="20" w:line="264" w:lineRule="auto"/>
            </w:pPr>
            <w:r>
              <w:rPr>
                <w:rFonts w:ascii="Aptos" w:hAnsi="Aptos" w:eastAsia="Aptos"/>
                <w:b w:val="0"/>
                <w:i w:val="0"/>
                <w:color w:val="111827"/>
                <w:sz w:val="19"/>
              </w:rPr>
              <w:t>Usuario con varias sedes autorizadas</w:t>
            </w:r>
          </w:p>
        </w:tc>
        <w:tc>
          <w:tcPr>
            <w:tcW w:type="dxa" w:w="4082"/>
            <w:vAlign w:val="center"/>
          </w:tcPr>
          <w:p>
            <w:pPr>
              <w:spacing w:before="20" w:after="20" w:line="264" w:lineRule="auto"/>
            </w:pPr>
            <w:r>
              <w:rPr>
                <w:rFonts w:ascii="Aptos" w:hAnsi="Aptos" w:eastAsia="Aptos"/>
                <w:b w:val="0"/>
                <w:i w:val="0"/>
                <w:color w:val="111827"/>
                <w:sz w:val="19"/>
              </w:rPr>
              <w:t>Se presenta selector bloqueante de sede</w:t>
            </w:r>
          </w:p>
        </w:tc>
        <w:tc>
          <w:tcPr>
            <w:tcW w:type="dxa" w:w="2381"/>
            <w:vAlign w:val="center"/>
          </w:tcPr>
          <w:p>
            <w:pPr>
              <w:spacing w:before="20" w:after="20" w:line="264" w:lineRule="auto"/>
            </w:pPr>
            <w:r>
              <w:rPr>
                <w:rFonts w:ascii="Aptos" w:hAnsi="Aptos" w:eastAsia="Aptos"/>
                <w:b w:val="0"/>
                <w:i w:val="0"/>
                <w:color w:val="111827"/>
                <w:sz w:val="19"/>
              </w:rPr>
              <w:t>No puede operar hasta elegir una sede</w:t>
            </w:r>
          </w:p>
        </w:tc>
      </w:tr>
      <w:tr>
        <w:tc>
          <w:tcPr>
            <w:tcW w:type="dxa" w:w="2381"/>
            <w:vAlign w:val="center"/>
          </w:tcPr>
          <w:p>
            <w:pPr>
              <w:spacing w:before="20" w:after="20" w:line="264" w:lineRule="auto"/>
            </w:pPr>
            <w:r>
              <w:rPr>
                <w:rFonts w:ascii="Aptos" w:hAnsi="Aptos" w:eastAsia="Aptos"/>
                <w:b w:val="0"/>
                <w:i w:val="0"/>
                <w:color w:val="111827"/>
                <w:sz w:val="19"/>
              </w:rPr>
              <w:t>Cambio de sede durante la sesion</w:t>
            </w:r>
          </w:p>
        </w:tc>
        <w:tc>
          <w:tcPr>
            <w:tcW w:type="dxa" w:w="4082"/>
            <w:vAlign w:val="center"/>
          </w:tcPr>
          <w:p>
            <w:pPr>
              <w:spacing w:before="20" w:after="20" w:line="264" w:lineRule="auto"/>
            </w:pPr>
            <w:r>
              <w:rPr>
                <w:rFonts w:ascii="Aptos" w:hAnsi="Aptos" w:eastAsia="Aptos"/>
                <w:b w:val="0"/>
                <w:i w:val="0"/>
                <w:color w:val="111827"/>
                <w:sz w:val="19"/>
              </w:rPr>
              <w:t>Se renueva token y contexto operativo</w:t>
            </w:r>
          </w:p>
        </w:tc>
        <w:tc>
          <w:tcPr>
            <w:tcW w:type="dxa" w:w="2381"/>
            <w:vAlign w:val="center"/>
          </w:tcPr>
          <w:p>
            <w:pPr>
              <w:spacing w:before="20" w:after="20" w:line="264" w:lineRule="auto"/>
            </w:pPr>
            <w:r>
              <w:rPr>
                <w:rFonts w:ascii="Aptos" w:hAnsi="Aptos" w:eastAsia="Aptos"/>
                <w:b w:val="0"/>
                <w:i w:val="0"/>
                <w:color w:val="111827"/>
                <w:sz w:val="19"/>
              </w:rPr>
              <w:t>Inventario local y permisos se recalculan</w:t>
            </w:r>
          </w:p>
        </w:tc>
      </w:tr>
    </w:tbl>
    <w:p/>
    <w:tbl>
      <w:tblPr>
        <w:tblW w:type="auto" w:w="0"/>
        <w:jc w:val="center"/>
        <w:tblLook w:firstColumn="1" w:firstRow="1" w:lastColumn="0" w:lastRow="0" w:noHBand="0" w:noVBand="1" w:val="04A0"/>
      </w:tblPr>
      <w:tblGrid>
        <w:gridCol w:w="10092"/>
      </w:tblGrid>
      <w:tr>
        <w:tc>
          <w:tcPr>
            <w:tcW w:type="dxa" w:w="10092"/>
            <w:shd w:fill="111827"/>
          </w:tcPr>
          <w:p>
            <w:pPr>
              <w:spacing w:before="40" w:after="40" w:line="240" w:lineRule="auto"/>
            </w:pPr>
            <w:r>
              <w:rPr>
                <w:rFonts w:ascii="Aptos" w:hAnsi="Aptos" w:eastAsia="Aptos"/>
                <w:b/>
                <w:i w:val="0"/>
                <w:color w:val="FFFFFF"/>
                <w:sz w:val="19"/>
              </w:rPr>
              <w:t>Algoritmo de seleccion de sede</w:t>
            </w:r>
          </w:p>
        </w:tc>
      </w:tr>
      <w:tr>
        <w:tc>
          <w:tcPr>
            <w:tcW w:type="dxa" w:w="10092"/>
            <w:shd w:fill="F8FAFC"/>
          </w:tcPr>
          <w:p>
            <w:pPr>
              <w:spacing w:before="80" w:after="80" w:line="240" w:lineRule="auto"/>
            </w:pPr>
            <w:r>
              <w:rPr>
                <w:rFonts w:ascii="DejaVu Sans Mono" w:hAnsi="DejaVu Sans Mono" w:eastAsia="DejaVu Sans Mono"/>
                <w:b w:val="0"/>
                <w:i w:val="0"/>
                <w:color w:val="111827"/>
                <w:sz w:val="18"/>
              </w:rPr>
              <w:t>1. Validar credenciales.</w:t>
            </w:r>
            <w:r>
              <w:br/>
            </w:r>
            <w:r>
              <w:rPr>
                <w:rFonts w:ascii="DejaVu Sans Mono" w:hAnsi="DejaVu Sans Mono" w:eastAsia="DejaVu Sans Mono"/>
                <w:b w:val="0"/>
                <w:i w:val="0"/>
                <w:color w:val="111827"/>
                <w:sz w:val="18"/>
              </w:rPr>
              <w:t>2. Consultar sedes autorizadas del usuario.</w:t>
            </w:r>
            <w:r>
              <w:br/>
            </w:r>
            <w:r>
              <w:rPr>
                <w:rFonts w:ascii="DejaVu Sans Mono" w:hAnsi="DejaVu Sans Mono" w:eastAsia="DejaVu Sans Mono"/>
                <w:b w:val="0"/>
                <w:i w:val="0"/>
                <w:color w:val="111827"/>
                <w:sz w:val="18"/>
              </w:rPr>
              <w:t>3. Si solo existe una sede -&gt; fijarla como activa.</w:t>
            </w:r>
            <w:r>
              <w:br/>
            </w:r>
            <w:r>
              <w:rPr>
                <w:rFonts w:ascii="DejaVu Sans Mono" w:hAnsi="DejaVu Sans Mono" w:eastAsia="DejaVu Sans Mono"/>
                <w:b w:val="0"/>
                <w:i w:val="0"/>
                <w:color w:val="111827"/>
                <w:sz w:val="18"/>
              </w:rPr>
              <w:t>4. Si hay multiples sedes -&gt; solicitar eleccion.</w:t>
            </w:r>
            <w:r>
              <w:br/>
            </w:r>
            <w:r>
              <w:rPr>
                <w:rFonts w:ascii="DejaVu Sans Mono" w:hAnsi="DejaVu Sans Mono" w:eastAsia="DejaVu Sans Mono"/>
                <w:b w:val="0"/>
                <w:i w:val="0"/>
                <w:color w:val="111827"/>
                <w:sz w:val="18"/>
              </w:rPr>
              <w:t>5. Emitir JWT con id_sede, rol y usabilidades.</w:t>
            </w:r>
            <w:r>
              <w:br/>
            </w:r>
            <w:r>
              <w:rPr>
                <w:rFonts w:ascii="DejaVu Sans Mono" w:hAnsi="DejaVu Sans Mono" w:eastAsia="DejaVu Sans Mono"/>
                <w:b w:val="0"/>
                <w:i w:val="0"/>
                <w:color w:val="111827"/>
                <w:sz w:val="18"/>
              </w:rPr>
              <w:t>6. Persistir la sede activa para inventario, dispensacion y trazabilidad.</w:t>
            </w:r>
          </w:p>
        </w:tc>
      </w:tr>
    </w:tbl>
    <w:p/>
    <w:p>
      <w:pPr>
        <w:spacing w:before="200" w:after="120" w:line="264" w:lineRule="auto"/>
      </w:pPr>
      <w:r>
        <w:rPr>
          <w:rFonts w:ascii="Aptos" w:hAnsi="Aptos" w:eastAsia="Aptos"/>
          <w:b/>
          <w:i w:val="0"/>
          <w:color w:val="4C1D95"/>
          <w:sz w:val="40"/>
        </w:rPr>
        <w:t>3. Dashboard, banner superior y alerta "solicitud de compra"</w:t>
      </w:r>
    </w:p>
    <w:p>
      <w:pPr>
        <w:spacing w:before="40" w:after="160" w:line="288" w:lineRule="auto"/>
      </w:pPr>
      <w:r>
        <w:rPr>
          <w:rFonts w:ascii="Aptos" w:hAnsi="Aptos" w:eastAsia="Aptos"/>
          <w:b w:val="0"/>
          <w:i w:val="0"/>
          <w:color w:val="111827"/>
          <w:sz w:val="22"/>
        </w:rPr>
        <w:t xml:space="preserve">El dashboard centraliza el estado de conectividad, indicadores de inventario y gobierno multisede. En la barra superior aparecen las acciones visibles segun el perfil: cambio de sede, gestor de sedes, gestor de perfiles y la alerta </w:t>
      </w:r>
      <w:r>
        <w:rPr>
          <w:rFonts w:ascii="Aptos" w:hAnsi="Aptos" w:eastAsia="Aptos"/>
          <w:b/>
          <w:i w:val="0"/>
          <w:color w:val="F97316"/>
          <w:sz w:val="21"/>
        </w:rPr>
        <w:t>solicitud de compra</w:t>
      </w:r>
      <w:r>
        <w:rPr>
          <w:rFonts w:ascii="Aptos" w:hAnsi="Aptos" w:eastAsia="Aptos"/>
          <w:b w:val="0"/>
          <w:i w:val="0"/>
          <w:color w:val="111827"/>
          <w:sz w:val="22"/>
        </w:rPr>
        <w:t xml:space="preserve"> cuando una sede periferica solicita abastecimiento.</w:t>
      </w:r>
    </w:p>
    <w:p>
      <w:r>
        <w:drawing>
          <wp:inline xmlns:a="http://schemas.openxmlformats.org/drawingml/2006/main" xmlns:pic="http://schemas.openxmlformats.org/drawingml/2006/picture">
            <wp:extent cx="6355080" cy="3574732"/>
            <wp:docPr id="4" name="Picture 4"/>
            <wp:cNvGraphicFramePr>
              <a:graphicFrameLocks noChangeAspect="1"/>
            </wp:cNvGraphicFramePr>
            <a:graphic>
              <a:graphicData uri="http://schemas.openxmlformats.org/drawingml/2006/picture">
                <pic:pic>
                  <pic:nvPicPr>
                    <pic:cNvPr id="0" name="mock_purchase_request_alert.png"/>
                    <pic:cNvPicPr/>
                  </pic:nvPicPr>
                  <pic:blipFill>
                    <a:blip r:embed="rId12"/>
                    <a:stretch>
                      <a:fillRect/>
                    </a:stretch>
                  </pic:blipFill>
                  <pic:spPr>
                    <a:xfrm>
                      <a:off x="0" y="0"/>
                      <a:ext cx="6355080" cy="3574732"/>
                    </a:xfrm>
                    <a:prstGeom prst="rect"/>
                  </pic:spPr>
                </pic:pic>
              </a:graphicData>
            </a:graphic>
          </wp:inline>
        </w:drawing>
      </w:r>
    </w:p>
    <w:p>
      <w:pPr>
        <w:spacing w:before="40" w:after="160" w:line="240" w:lineRule="auto"/>
        <w:jc w:val="center"/>
      </w:pPr>
      <w:r>
        <w:rPr>
          <w:rFonts w:ascii="Aptos" w:hAnsi="Aptos" w:eastAsia="Aptos"/>
          <w:b w:val="0"/>
          <w:i/>
          <w:color w:val="64748B"/>
          <w:sz w:val="19"/>
        </w:rPr>
        <w:t>Figura 3. Dashboard en sede central con alerta superior, fecha/hora de solicitudes y accesos de gobierno.</w:t>
      </w:r>
    </w:p>
    <w:tbl>
      <w:tblPr>
        <w:tblStyle w:val="TableGrid"/>
        <w:tblW w:type="auto" w:w="0"/>
        <w:jc w:val="center"/>
        <w:tblLook w:firstColumn="1" w:firstRow="1" w:lastColumn="0" w:lastRow="0" w:noHBand="0" w:noVBand="1" w:val="04A0"/>
      </w:tblPr>
      <w:tblGrid>
        <w:gridCol w:w="3364"/>
        <w:gridCol w:w="3364"/>
        <w:gridCol w:w="3364"/>
      </w:tblGrid>
      <w:tr>
        <w:tc>
          <w:tcPr>
            <w:tcW w:type="dxa" w:w="2268"/>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Elemento del banner</w:t>
            </w:r>
          </w:p>
        </w:tc>
        <w:tc>
          <w:tcPr>
            <w:tcW w:type="dxa" w:w="2835"/>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Quien lo ve</w:t>
            </w:r>
          </w:p>
        </w:tc>
        <w:tc>
          <w:tcPr>
            <w:tcW w:type="dxa" w:w="3969"/>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Funcion</w:t>
            </w:r>
          </w:p>
        </w:tc>
      </w:tr>
      <w:tr>
        <w:tc>
          <w:tcPr>
            <w:tcW w:type="dxa" w:w="2268"/>
            <w:vAlign w:val="center"/>
          </w:tcPr>
          <w:p>
            <w:pPr>
              <w:spacing w:before="20" w:after="20" w:line="264" w:lineRule="auto"/>
            </w:pPr>
            <w:r>
              <w:rPr>
                <w:rFonts w:ascii="Aptos" w:hAnsi="Aptos" w:eastAsia="Aptos"/>
                <w:b w:val="0"/>
                <w:i w:val="0"/>
                <w:color w:val="111827"/>
                <w:sz w:val="19"/>
              </w:rPr>
              <w:t>Sede: &lt;nombre&gt;</w:t>
            </w:r>
          </w:p>
        </w:tc>
        <w:tc>
          <w:tcPr>
            <w:tcW w:type="dxa" w:w="2835"/>
            <w:vAlign w:val="center"/>
          </w:tcPr>
          <w:p>
            <w:pPr>
              <w:spacing w:before="20" w:after="20" w:line="264" w:lineRule="auto"/>
            </w:pPr>
            <w:r>
              <w:rPr>
                <w:rFonts w:ascii="Aptos" w:hAnsi="Aptos" w:eastAsia="Aptos"/>
                <w:b w:val="0"/>
                <w:i w:val="0"/>
                <w:color w:val="111827"/>
                <w:sz w:val="19"/>
              </w:rPr>
              <w:t>Usuarios con mas de una sede</w:t>
            </w:r>
          </w:p>
        </w:tc>
        <w:tc>
          <w:tcPr>
            <w:tcW w:type="dxa" w:w="3969"/>
            <w:vAlign w:val="center"/>
          </w:tcPr>
          <w:p>
            <w:pPr>
              <w:spacing w:before="20" w:after="20" w:line="264" w:lineRule="auto"/>
            </w:pPr>
            <w:r>
              <w:rPr>
                <w:rFonts w:ascii="Aptos" w:hAnsi="Aptos" w:eastAsia="Aptos"/>
                <w:b w:val="0"/>
                <w:i w:val="0"/>
                <w:color w:val="111827"/>
                <w:sz w:val="19"/>
              </w:rPr>
              <w:t>Cambia el contexto operativo sin salir de la aplicacion</w:t>
            </w:r>
          </w:p>
        </w:tc>
      </w:tr>
      <w:tr>
        <w:tc>
          <w:tcPr>
            <w:tcW w:type="dxa" w:w="2268"/>
            <w:vAlign w:val="center"/>
          </w:tcPr>
          <w:p>
            <w:pPr>
              <w:spacing w:before="20" w:after="20" w:line="264" w:lineRule="auto"/>
            </w:pPr>
            <w:r>
              <w:rPr>
                <w:rFonts w:ascii="Aptos" w:hAnsi="Aptos" w:eastAsia="Aptos"/>
                <w:b w:val="0"/>
                <w:i w:val="0"/>
                <w:color w:val="111827"/>
                <w:sz w:val="19"/>
              </w:rPr>
              <w:t>solicitud de compra</w:t>
            </w:r>
          </w:p>
        </w:tc>
        <w:tc>
          <w:tcPr>
            <w:tcW w:type="dxa" w:w="2835"/>
            <w:vAlign w:val="center"/>
          </w:tcPr>
          <w:p>
            <w:pPr>
              <w:spacing w:before="20" w:after="20" w:line="264" w:lineRule="auto"/>
            </w:pPr>
            <w:r>
              <w:rPr>
                <w:rFonts w:ascii="Aptos" w:hAnsi="Aptos" w:eastAsia="Aptos"/>
                <w:b w:val="0"/>
                <w:i w:val="0"/>
                <w:color w:val="111827"/>
                <w:sz w:val="19"/>
              </w:rPr>
              <w:t>Central con permisos de revision</w:t>
            </w:r>
          </w:p>
        </w:tc>
        <w:tc>
          <w:tcPr>
            <w:tcW w:type="dxa" w:w="3969"/>
            <w:vAlign w:val="center"/>
          </w:tcPr>
          <w:p>
            <w:pPr>
              <w:spacing w:before="20" w:after="20" w:line="264" w:lineRule="auto"/>
            </w:pPr>
            <w:r>
              <w:rPr>
                <w:rFonts w:ascii="Aptos" w:hAnsi="Aptos" w:eastAsia="Aptos"/>
                <w:b w:val="0"/>
                <w:i w:val="0"/>
                <w:color w:val="111827"/>
                <w:sz w:val="19"/>
              </w:rPr>
              <w:t>Muestra cantidad pendiente y acceso al detalle</w:t>
            </w:r>
          </w:p>
        </w:tc>
      </w:tr>
      <w:tr>
        <w:tc>
          <w:tcPr>
            <w:tcW w:type="dxa" w:w="2268"/>
            <w:vAlign w:val="center"/>
          </w:tcPr>
          <w:p>
            <w:pPr>
              <w:spacing w:before="20" w:after="20" w:line="264" w:lineRule="auto"/>
            </w:pPr>
            <w:r>
              <w:rPr>
                <w:rFonts w:ascii="Aptos" w:hAnsi="Aptos" w:eastAsia="Aptos"/>
                <w:b w:val="0"/>
                <w:i w:val="0"/>
                <w:color w:val="111827"/>
                <w:sz w:val="19"/>
              </w:rPr>
              <w:t>Gestor de sedes</w:t>
            </w:r>
          </w:p>
        </w:tc>
        <w:tc>
          <w:tcPr>
            <w:tcW w:type="dxa" w:w="2835"/>
            <w:vAlign w:val="center"/>
          </w:tcPr>
          <w:p>
            <w:pPr>
              <w:spacing w:before="20" w:after="20" w:line="264" w:lineRule="auto"/>
            </w:pPr>
            <w:r>
              <w:rPr>
                <w:rFonts w:ascii="Aptos" w:hAnsi="Aptos" w:eastAsia="Aptos"/>
                <w:b w:val="0"/>
                <w:i w:val="0"/>
                <w:color w:val="111827"/>
                <w:sz w:val="19"/>
              </w:rPr>
              <w:t>Perfil con usabilidad sites.manage</w:t>
            </w:r>
          </w:p>
        </w:tc>
        <w:tc>
          <w:tcPr>
            <w:tcW w:type="dxa" w:w="3969"/>
            <w:vAlign w:val="center"/>
          </w:tcPr>
          <w:p>
            <w:pPr>
              <w:spacing w:before="20" w:after="20" w:line="264" w:lineRule="auto"/>
            </w:pPr>
            <w:r>
              <w:rPr>
                <w:rFonts w:ascii="Aptos" w:hAnsi="Aptos" w:eastAsia="Aptos"/>
                <w:b w:val="0"/>
                <w:i w:val="0"/>
                <w:color w:val="111827"/>
                <w:sz w:val="19"/>
              </w:rPr>
              <w:t>Crear o desactivar sedes</w:t>
            </w:r>
          </w:p>
        </w:tc>
      </w:tr>
      <w:tr>
        <w:tc>
          <w:tcPr>
            <w:tcW w:type="dxa" w:w="2268"/>
            <w:vAlign w:val="center"/>
          </w:tcPr>
          <w:p>
            <w:pPr>
              <w:spacing w:before="20" w:after="20" w:line="264" w:lineRule="auto"/>
            </w:pPr>
            <w:r>
              <w:rPr>
                <w:rFonts w:ascii="Aptos" w:hAnsi="Aptos" w:eastAsia="Aptos"/>
                <w:b w:val="0"/>
                <w:i w:val="0"/>
                <w:color w:val="111827"/>
                <w:sz w:val="19"/>
              </w:rPr>
              <w:t>Gestor de perfiles</w:t>
            </w:r>
          </w:p>
        </w:tc>
        <w:tc>
          <w:tcPr>
            <w:tcW w:type="dxa" w:w="2835"/>
            <w:vAlign w:val="center"/>
          </w:tcPr>
          <w:p>
            <w:pPr>
              <w:spacing w:before="20" w:after="20" w:line="264" w:lineRule="auto"/>
            </w:pPr>
            <w:r>
              <w:rPr>
                <w:rFonts w:ascii="Aptos" w:hAnsi="Aptos" w:eastAsia="Aptos"/>
                <w:b w:val="0"/>
                <w:i w:val="0"/>
                <w:color w:val="111827"/>
                <w:sz w:val="19"/>
              </w:rPr>
              <w:t>Perfil con usabilidad profiles.manage</w:t>
            </w:r>
          </w:p>
        </w:tc>
        <w:tc>
          <w:tcPr>
            <w:tcW w:type="dxa" w:w="3969"/>
            <w:vAlign w:val="center"/>
          </w:tcPr>
          <w:p>
            <w:pPr>
              <w:spacing w:before="20" w:after="20" w:line="264" w:lineRule="auto"/>
            </w:pPr>
            <w:r>
              <w:rPr>
                <w:rFonts w:ascii="Aptos" w:hAnsi="Aptos" w:eastAsia="Aptos"/>
                <w:b w:val="0"/>
                <w:i w:val="0"/>
                <w:color w:val="111827"/>
                <w:sz w:val="19"/>
              </w:rPr>
              <w:t>Crear, adjudicar o eliminar perfiles</w:t>
            </w:r>
          </w:p>
        </w:tc>
      </w:tr>
    </w:tbl>
    <w:p/>
    <w:tbl>
      <w:tblPr>
        <w:tblW w:type="auto" w:w="0"/>
        <w:jc w:val="center"/>
        <w:tblLook w:firstColumn="1" w:firstRow="1" w:lastColumn="0" w:lastRow="0" w:noHBand="0" w:noVBand="1" w:val="04A0"/>
      </w:tblPr>
      <w:tblGrid>
        <w:gridCol w:w="10092"/>
      </w:tblGrid>
      <w:tr>
        <w:tc>
          <w:tcPr>
            <w:tcW w:type="dxa" w:w="10092"/>
            <w:shd w:fill="FFF7ED"/>
            <w:tcBorders>
              <w:left w:val="single" w:sz="12" w:color="C2410C"/>
              <w:top w:val="single" w:sz="12" w:color="C2410C"/>
              <w:right w:val="single" w:sz="12" w:color="C2410C"/>
              <w:bottom w:val="single" w:sz="12" w:color="C2410C"/>
            </w:tcBorders>
          </w:tcPr>
          <w:p>
            <w:pPr>
              <w:spacing w:before="40" w:after="40" w:line="276" w:lineRule="auto"/>
            </w:pPr>
            <w:r>
              <w:rPr>
                <w:rFonts w:ascii="Aptos" w:hAnsi="Aptos" w:eastAsia="Aptos"/>
                <w:b/>
                <w:i w:val="0"/>
                <w:color w:val="C2410C"/>
                <w:sz w:val="21"/>
              </w:rPr>
              <w:t xml:space="preserve">Indicador esperado en central: </w:t>
            </w:r>
            <w:r>
              <w:rPr>
                <w:rFonts w:ascii="Aptos" w:hAnsi="Aptos" w:eastAsia="Aptos"/>
                <w:b w:val="0"/>
                <w:i w:val="0"/>
                <w:color w:val="111827"/>
                <w:sz w:val="20"/>
              </w:rPr>
              <w:t>Cada solicitud muestra sede origen, consecutivo, usuario solicitante y fecha/hora de creacion. El administrador o responsable central la marca como revisada, aprobada, rechazada o atendida.</w:t>
            </w:r>
          </w:p>
        </w:tc>
      </w:tr>
    </w:tbl>
    <w:p/>
    <w:p>
      <w:pPr>
        <w:spacing w:before="200" w:after="120" w:line="264" w:lineRule="auto"/>
      </w:pPr>
      <w:r>
        <w:rPr>
          <w:rFonts w:ascii="Aptos" w:hAnsi="Aptos" w:eastAsia="Aptos"/>
          <w:b/>
          <w:i w:val="0"/>
          <w:color w:val="4C1D95"/>
          <w:sz w:val="40"/>
        </w:rPr>
        <w:t>4. Gestor de sedes: crear, desactivar y gobernar sedes</w:t>
      </w:r>
    </w:p>
    <w:p>
      <w:pPr>
        <w:spacing w:before="40" w:after="160" w:line="288" w:lineRule="auto"/>
      </w:pPr>
      <w:r>
        <w:rPr>
          <w:rFonts w:ascii="Aptos" w:hAnsi="Aptos" w:eastAsia="Aptos"/>
          <w:b w:val="0"/>
          <w:i w:val="0"/>
          <w:color w:val="111827"/>
          <w:sz w:val="22"/>
        </w:rPr>
        <w:t>Desde el dashboard o desde el centro operativo, el gestor de sedes permite crear nuevas sedes, provisionar su estructura base y desactivarlas logicamente cuando dejen de operar. La sede central queda protegida contra eliminacion.</w:t>
      </w:r>
    </w:p>
    <w:p>
      <w:r>
        <w:drawing>
          <wp:inline xmlns:a="http://schemas.openxmlformats.org/drawingml/2006/main" xmlns:pic="http://schemas.openxmlformats.org/drawingml/2006/picture">
            <wp:extent cx="6355080" cy="3574732"/>
            <wp:docPr id="5" name="Picture 5"/>
            <wp:cNvGraphicFramePr>
              <a:graphicFrameLocks noChangeAspect="1"/>
            </wp:cNvGraphicFramePr>
            <a:graphic>
              <a:graphicData uri="http://schemas.openxmlformats.org/drawingml/2006/picture">
                <pic:pic>
                  <pic:nvPicPr>
                    <pic:cNvPr id="0" name="mock_site_manager_dashboard.png"/>
                    <pic:cNvPicPr/>
                  </pic:nvPicPr>
                  <pic:blipFill>
                    <a:blip r:embed="rId13"/>
                    <a:stretch>
                      <a:fillRect/>
                    </a:stretch>
                  </pic:blipFill>
                  <pic:spPr>
                    <a:xfrm>
                      <a:off x="0" y="0"/>
                      <a:ext cx="6355080" cy="3574732"/>
                    </a:xfrm>
                    <a:prstGeom prst="rect"/>
                  </pic:spPr>
                </pic:pic>
              </a:graphicData>
            </a:graphic>
          </wp:inline>
        </w:drawing>
      </w:r>
    </w:p>
    <w:p>
      <w:pPr>
        <w:spacing w:before="40" w:after="160" w:line="240" w:lineRule="auto"/>
        <w:jc w:val="center"/>
      </w:pPr>
      <w:r>
        <w:rPr>
          <w:rFonts w:ascii="Aptos" w:hAnsi="Aptos" w:eastAsia="Aptos"/>
          <w:b w:val="0"/>
          <w:i/>
          <w:color w:val="64748B"/>
          <w:sz w:val="19"/>
        </w:rPr>
        <w:t>Figura 4. Gestor de sedes con inventario local, usuarios y solicitudes asociadas por sede.</w:t>
      </w:r>
    </w:p>
    <w:p>
      <w:pPr>
        <w:pStyle w:val="ListNumber"/>
        <w:spacing w:before="0" w:after="60" w:line="276" w:lineRule="auto"/>
      </w:pPr>
      <w:r>
        <w:rPr>
          <w:rFonts w:ascii="Aptos" w:hAnsi="Aptos" w:eastAsia="Aptos"/>
          <w:b w:val="0"/>
          <w:i w:val="0"/>
          <w:color w:val="111827"/>
          <w:sz w:val="21"/>
        </w:rPr>
        <w:t>Registrar codigo, nombre, ciudad, direccion, telefono, correo y responsable.</w:t>
      </w:r>
    </w:p>
    <w:p>
      <w:pPr>
        <w:pStyle w:val="ListNumber"/>
        <w:spacing w:before="0" w:after="60" w:line="276" w:lineRule="auto"/>
      </w:pPr>
      <w:r>
        <w:rPr>
          <w:rFonts w:ascii="Aptos" w:hAnsi="Aptos" w:eastAsia="Aptos"/>
          <w:b w:val="0"/>
          <w:i w:val="0"/>
          <w:color w:val="111827"/>
          <w:sz w:val="21"/>
        </w:rPr>
        <w:t>El sistema genera almacenes base: general, cadena de frio y controlados.</w:t>
      </w:r>
    </w:p>
    <w:p>
      <w:pPr>
        <w:pStyle w:val="ListNumber"/>
        <w:spacing w:before="0" w:after="60" w:line="276" w:lineRule="auto"/>
      </w:pPr>
      <w:r>
        <w:rPr>
          <w:rFonts w:ascii="Aptos" w:hAnsi="Aptos" w:eastAsia="Aptos"/>
          <w:b w:val="0"/>
          <w:i w:val="0"/>
          <w:color w:val="111827"/>
          <w:sz w:val="21"/>
        </w:rPr>
        <w:t>La nueva sede recibe ubicaciones de recepcion, despacho, cuarentena y, cuando aplique, nevera principal.</w:t>
      </w:r>
    </w:p>
    <w:p>
      <w:pPr>
        <w:pStyle w:val="ListNumber"/>
        <w:spacing w:before="0" w:after="60" w:line="276" w:lineRule="auto"/>
      </w:pPr>
      <w:r>
        <w:rPr>
          <w:rFonts w:ascii="Aptos" w:hAnsi="Aptos" w:eastAsia="Aptos"/>
          <w:b w:val="0"/>
          <w:i w:val="0"/>
          <w:color w:val="111827"/>
          <w:sz w:val="21"/>
        </w:rPr>
        <w:t>La sede queda disponible para adjudicacion a usuarios y entra al consolidado general.</w:t>
      </w:r>
    </w:p>
    <w:p>
      <w:pPr>
        <w:pStyle w:val="ListNumber"/>
        <w:spacing w:before="0" w:after="60" w:line="276" w:lineRule="auto"/>
      </w:pPr>
      <w:r>
        <w:rPr>
          <w:rFonts w:ascii="Aptos" w:hAnsi="Aptos" w:eastAsia="Aptos"/>
          <w:b w:val="0"/>
          <w:i w:val="0"/>
          <w:color w:val="111827"/>
          <w:sz w:val="21"/>
        </w:rPr>
        <w:t>La desactivacion bloquea nuevas operaciones pero conserva la historia.</w:t>
      </w:r>
    </w:p>
    <w:tbl>
      <w:tblPr>
        <w:tblStyle w:val="TableGrid"/>
        <w:tblW w:type="auto" w:w="0"/>
        <w:jc w:val="center"/>
        <w:tblLook w:firstColumn="1" w:firstRow="1" w:lastColumn="0" w:lastRow="0" w:noHBand="0" w:noVBand="1" w:val="04A0"/>
      </w:tblPr>
      <w:tblGrid>
        <w:gridCol w:w="3364"/>
        <w:gridCol w:w="3364"/>
        <w:gridCol w:w="3364"/>
      </w:tblGrid>
      <w:tr>
        <w:tc>
          <w:tcPr>
            <w:tcW w:type="dxa" w:w="2948"/>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Objeto provisionado</w:t>
            </w:r>
          </w:p>
        </w:tc>
        <w:tc>
          <w:tcPr>
            <w:tcW w:type="dxa" w:w="4195"/>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Finalidad</w:t>
            </w:r>
          </w:p>
        </w:tc>
        <w:tc>
          <w:tcPr>
            <w:tcW w:type="dxa" w:w="1814"/>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Se incluye en inventario general</w:t>
            </w:r>
          </w:p>
        </w:tc>
      </w:tr>
      <w:tr>
        <w:tc>
          <w:tcPr>
            <w:tcW w:type="dxa" w:w="2948"/>
            <w:vAlign w:val="center"/>
          </w:tcPr>
          <w:p>
            <w:pPr>
              <w:spacing w:before="20" w:after="20" w:line="264" w:lineRule="auto"/>
            </w:pPr>
            <w:r>
              <w:rPr>
                <w:rFonts w:ascii="Aptos" w:hAnsi="Aptos" w:eastAsia="Aptos"/>
                <w:b w:val="0"/>
                <w:i w:val="0"/>
                <w:color w:val="111827"/>
                <w:sz w:val="19"/>
              </w:rPr>
              <w:t>Almacen general</w:t>
            </w:r>
          </w:p>
        </w:tc>
        <w:tc>
          <w:tcPr>
            <w:tcW w:type="dxa" w:w="4195"/>
            <w:vAlign w:val="center"/>
          </w:tcPr>
          <w:p>
            <w:pPr>
              <w:spacing w:before="20" w:after="20" w:line="264" w:lineRule="auto"/>
            </w:pPr>
            <w:r>
              <w:rPr>
                <w:rFonts w:ascii="Aptos" w:hAnsi="Aptos" w:eastAsia="Aptos"/>
                <w:b w:val="0"/>
                <w:i w:val="0"/>
                <w:color w:val="111827"/>
                <w:sz w:val="19"/>
              </w:rPr>
              <w:t>Ingreso, recepcion y despacho local</w:t>
            </w:r>
          </w:p>
        </w:tc>
        <w:tc>
          <w:tcPr>
            <w:tcW w:type="dxa" w:w="1814"/>
            <w:vAlign w:val="center"/>
          </w:tcPr>
          <w:p>
            <w:pPr>
              <w:spacing w:before="20" w:after="20" w:line="264" w:lineRule="auto"/>
            </w:pPr>
            <w:r>
              <w:rPr>
                <w:rFonts w:ascii="Aptos" w:hAnsi="Aptos" w:eastAsia="Aptos"/>
                <w:b w:val="0"/>
                <w:i w:val="0"/>
                <w:color w:val="111827"/>
                <w:sz w:val="19"/>
              </w:rPr>
              <w:t>Si</w:t>
            </w:r>
          </w:p>
        </w:tc>
      </w:tr>
      <w:tr>
        <w:tc>
          <w:tcPr>
            <w:tcW w:type="dxa" w:w="2948"/>
            <w:vAlign w:val="center"/>
          </w:tcPr>
          <w:p>
            <w:pPr>
              <w:spacing w:before="20" w:after="20" w:line="264" w:lineRule="auto"/>
            </w:pPr>
            <w:r>
              <w:rPr>
                <w:rFonts w:ascii="Aptos" w:hAnsi="Aptos" w:eastAsia="Aptos"/>
                <w:b w:val="0"/>
                <w:i w:val="0"/>
                <w:color w:val="111827"/>
                <w:sz w:val="19"/>
              </w:rPr>
              <w:t>Cadena de frio</w:t>
            </w:r>
          </w:p>
        </w:tc>
        <w:tc>
          <w:tcPr>
            <w:tcW w:type="dxa" w:w="4195"/>
            <w:vAlign w:val="center"/>
          </w:tcPr>
          <w:p>
            <w:pPr>
              <w:spacing w:before="20" w:after="20" w:line="264" w:lineRule="auto"/>
            </w:pPr>
            <w:r>
              <w:rPr>
                <w:rFonts w:ascii="Aptos" w:hAnsi="Aptos" w:eastAsia="Aptos"/>
                <w:b w:val="0"/>
                <w:i w:val="0"/>
                <w:color w:val="111827"/>
                <w:sz w:val="19"/>
              </w:rPr>
              <w:t>Productos refrigerados y termohigrometros</w:t>
            </w:r>
          </w:p>
        </w:tc>
        <w:tc>
          <w:tcPr>
            <w:tcW w:type="dxa" w:w="1814"/>
            <w:vAlign w:val="center"/>
          </w:tcPr>
          <w:p>
            <w:pPr>
              <w:spacing w:before="20" w:after="20" w:line="264" w:lineRule="auto"/>
            </w:pPr>
            <w:r>
              <w:rPr>
                <w:rFonts w:ascii="Aptos" w:hAnsi="Aptos" w:eastAsia="Aptos"/>
                <w:b w:val="0"/>
                <w:i w:val="0"/>
                <w:color w:val="111827"/>
                <w:sz w:val="19"/>
              </w:rPr>
              <w:t>Si</w:t>
            </w:r>
          </w:p>
        </w:tc>
      </w:tr>
      <w:tr>
        <w:tc>
          <w:tcPr>
            <w:tcW w:type="dxa" w:w="2948"/>
            <w:vAlign w:val="center"/>
          </w:tcPr>
          <w:p>
            <w:pPr>
              <w:spacing w:before="20" w:after="20" w:line="264" w:lineRule="auto"/>
            </w:pPr>
            <w:r>
              <w:rPr>
                <w:rFonts w:ascii="Aptos" w:hAnsi="Aptos" w:eastAsia="Aptos"/>
                <w:b w:val="0"/>
                <w:i w:val="0"/>
                <w:color w:val="111827"/>
                <w:sz w:val="19"/>
              </w:rPr>
              <w:t>Controlados</w:t>
            </w:r>
          </w:p>
        </w:tc>
        <w:tc>
          <w:tcPr>
            <w:tcW w:type="dxa" w:w="4195"/>
            <w:vAlign w:val="center"/>
          </w:tcPr>
          <w:p>
            <w:pPr>
              <w:spacing w:before="20" w:after="20" w:line="264" w:lineRule="auto"/>
            </w:pPr>
            <w:r>
              <w:rPr>
                <w:rFonts w:ascii="Aptos" w:hAnsi="Aptos" w:eastAsia="Aptos"/>
                <w:b w:val="0"/>
                <w:i w:val="0"/>
                <w:color w:val="111827"/>
                <w:sz w:val="19"/>
              </w:rPr>
              <w:t>Custodia diferenciada y doble trazabilidad</w:t>
            </w:r>
          </w:p>
        </w:tc>
        <w:tc>
          <w:tcPr>
            <w:tcW w:type="dxa" w:w="1814"/>
            <w:vAlign w:val="center"/>
          </w:tcPr>
          <w:p>
            <w:pPr>
              <w:spacing w:before="20" w:after="20" w:line="264" w:lineRule="auto"/>
            </w:pPr>
            <w:r>
              <w:rPr>
                <w:rFonts w:ascii="Aptos" w:hAnsi="Aptos" w:eastAsia="Aptos"/>
                <w:b w:val="0"/>
                <w:i w:val="0"/>
                <w:color w:val="111827"/>
                <w:sz w:val="19"/>
              </w:rPr>
              <w:t>Si</w:t>
            </w:r>
          </w:p>
        </w:tc>
      </w:tr>
      <w:tr>
        <w:tc>
          <w:tcPr>
            <w:tcW w:type="dxa" w:w="2948"/>
            <w:vAlign w:val="center"/>
          </w:tcPr>
          <w:p>
            <w:pPr>
              <w:spacing w:before="20" w:after="20" w:line="264" w:lineRule="auto"/>
            </w:pPr>
            <w:r>
              <w:rPr>
                <w:rFonts w:ascii="Aptos" w:hAnsi="Aptos" w:eastAsia="Aptos"/>
                <w:b w:val="0"/>
                <w:i w:val="0"/>
                <w:color w:val="111827"/>
                <w:sz w:val="19"/>
              </w:rPr>
              <w:t>Vistas consolidadas</w:t>
            </w:r>
          </w:p>
        </w:tc>
        <w:tc>
          <w:tcPr>
            <w:tcW w:type="dxa" w:w="4195"/>
            <w:vAlign w:val="center"/>
          </w:tcPr>
          <w:p>
            <w:pPr>
              <w:spacing w:before="20" w:after="20" w:line="264" w:lineRule="auto"/>
            </w:pPr>
            <w:r>
              <w:rPr>
                <w:rFonts w:ascii="Aptos" w:hAnsi="Aptos" w:eastAsia="Aptos"/>
                <w:b w:val="0"/>
                <w:i w:val="0"/>
                <w:color w:val="111827"/>
                <w:sz w:val="19"/>
              </w:rPr>
              <w:t>Suma de todas las sedes activas</w:t>
            </w:r>
          </w:p>
        </w:tc>
        <w:tc>
          <w:tcPr>
            <w:tcW w:type="dxa" w:w="1814"/>
            <w:vAlign w:val="center"/>
          </w:tcPr>
          <w:p>
            <w:pPr>
              <w:spacing w:before="20" w:after="20" w:line="264" w:lineRule="auto"/>
            </w:pPr>
            <w:r>
              <w:rPr>
                <w:rFonts w:ascii="Aptos" w:hAnsi="Aptos" w:eastAsia="Aptos"/>
                <w:b w:val="0"/>
                <w:i w:val="0"/>
                <w:color w:val="111827"/>
                <w:sz w:val="19"/>
              </w:rPr>
              <w:t>Si</w:t>
            </w:r>
          </w:p>
        </w:tc>
      </w:tr>
    </w:tbl>
    <w:p/>
    <w:p>
      <w:r>
        <w:br w:type="page"/>
      </w:r>
    </w:p>
    <w:p>
      <w:pPr>
        <w:spacing w:before="200" w:after="120" w:line="264" w:lineRule="auto"/>
      </w:pPr>
      <w:r>
        <w:rPr>
          <w:rFonts w:ascii="Aptos" w:hAnsi="Aptos" w:eastAsia="Aptos"/>
          <w:b/>
          <w:i w:val="0"/>
          <w:color w:val="4C1D95"/>
          <w:sz w:val="40"/>
        </w:rPr>
        <w:t>5. Inventario local por sede e inventario general consolidado</w:t>
      </w:r>
    </w:p>
    <w:p>
      <w:pPr>
        <w:spacing w:before="40" w:after="160" w:line="288" w:lineRule="auto"/>
      </w:pPr>
      <w:r>
        <w:rPr>
          <w:rFonts w:ascii="Aptos" w:hAnsi="Aptos" w:eastAsia="Aptos"/>
          <w:b w:val="0"/>
          <w:i w:val="0"/>
          <w:color w:val="111827"/>
          <w:sz w:val="22"/>
        </w:rPr>
        <w:t xml:space="preserve">La consulta de inventario se presenta en dos planos. </w:t>
      </w:r>
      <w:r>
        <w:rPr>
          <w:rFonts w:ascii="Aptos" w:hAnsi="Aptos" w:eastAsia="Aptos"/>
          <w:b/>
          <w:i w:val="0"/>
          <w:color w:val="4C1D95"/>
          <w:sz w:val="21"/>
        </w:rPr>
        <w:t>Local</w:t>
      </w:r>
      <w:r>
        <w:rPr>
          <w:rFonts w:ascii="Aptos" w:hAnsi="Aptos" w:eastAsia="Aptos"/>
          <w:b w:val="0"/>
          <w:i w:val="0"/>
          <w:color w:val="111827"/>
          <w:sz w:val="22"/>
        </w:rPr>
        <w:t xml:space="preserve">: muestra solo las existencias de la sede activa. </w:t>
      </w:r>
      <w:r>
        <w:rPr>
          <w:rFonts w:ascii="Aptos" w:hAnsi="Aptos" w:eastAsia="Aptos"/>
          <w:b/>
          <w:i w:val="0"/>
          <w:color w:val="4C1D95"/>
          <w:sz w:val="21"/>
        </w:rPr>
        <w:t>General</w:t>
      </w:r>
      <w:r>
        <w:rPr>
          <w:rFonts w:ascii="Aptos" w:hAnsi="Aptos" w:eastAsia="Aptos"/>
          <w:b w:val="0"/>
          <w:i w:val="0"/>
          <w:color w:val="111827"/>
          <w:sz w:val="22"/>
        </w:rPr>
        <w:t>: consolida stock, lotes y vencimientos de todas las sedes para decisiones de redistribucion y compra.</w:t>
      </w:r>
    </w:p>
    <w:p>
      <w:r>
        <w:drawing>
          <wp:inline xmlns:a="http://schemas.openxmlformats.org/drawingml/2006/main" xmlns:pic="http://schemas.openxmlformats.org/drawingml/2006/picture">
            <wp:extent cx="6355080" cy="3892486"/>
            <wp:docPr id="6" name="Picture 6"/>
            <wp:cNvGraphicFramePr>
              <a:graphicFrameLocks noChangeAspect="1"/>
            </wp:cNvGraphicFramePr>
            <a:graphic>
              <a:graphicData uri="http://schemas.openxmlformats.org/drawingml/2006/picture">
                <pic:pic>
                  <pic:nvPicPr>
                    <pic:cNvPr id="0" name="mock_multisite_inventory.png"/>
                    <pic:cNvPicPr/>
                  </pic:nvPicPr>
                  <pic:blipFill>
                    <a:blip r:embed="rId14"/>
                    <a:stretch>
                      <a:fillRect/>
                    </a:stretch>
                  </pic:blipFill>
                  <pic:spPr>
                    <a:xfrm>
                      <a:off x="0" y="0"/>
                      <a:ext cx="6355080" cy="3892486"/>
                    </a:xfrm>
                    <a:prstGeom prst="rect"/>
                  </pic:spPr>
                </pic:pic>
              </a:graphicData>
            </a:graphic>
          </wp:inline>
        </w:drawing>
      </w:r>
    </w:p>
    <w:p>
      <w:pPr>
        <w:spacing w:before="40" w:after="160" w:line="240" w:lineRule="auto"/>
        <w:jc w:val="center"/>
      </w:pPr>
      <w:r>
        <w:rPr>
          <w:rFonts w:ascii="Aptos" w:hAnsi="Aptos" w:eastAsia="Aptos"/>
          <w:b w:val="0"/>
          <w:i/>
          <w:color w:val="64748B"/>
          <w:sz w:val="19"/>
        </w:rPr>
        <w:t>Figura 5. Vista operativa con lectura de inventario local y consolidado general.</w:t>
      </w:r>
    </w:p>
    <w:tbl>
      <w:tblPr>
        <w:tblW w:type="auto" w:w="0"/>
        <w:jc w:val="center"/>
        <w:tblLook w:firstColumn="1" w:firstRow="1" w:lastColumn="0" w:lastRow="0" w:noHBand="0" w:noVBand="1" w:val="04A0"/>
      </w:tblPr>
      <w:tblGrid>
        <w:gridCol w:w="10092"/>
      </w:tblGrid>
      <w:tr>
        <w:tc>
          <w:tcPr>
            <w:tcW w:type="dxa" w:w="10092"/>
            <w:shd w:fill="ECFDF5"/>
            <w:tcBorders>
              <w:left w:val="single" w:sz="12" w:color="047857"/>
              <w:top w:val="single" w:sz="12" w:color="047857"/>
              <w:right w:val="single" w:sz="12" w:color="047857"/>
              <w:bottom w:val="single" w:sz="12" w:color="047857"/>
            </w:tcBorders>
          </w:tcPr>
          <w:p>
            <w:pPr>
              <w:spacing w:before="40" w:after="40" w:line="276" w:lineRule="auto"/>
            </w:pPr>
            <w:r>
              <w:rPr>
                <w:rFonts w:ascii="Aptos" w:hAnsi="Aptos" w:eastAsia="Aptos"/>
                <w:b/>
                <w:i w:val="0"/>
                <w:color w:val="047857"/>
                <w:sz w:val="21"/>
              </w:rPr>
              <w:t xml:space="preserve">Regla de negocio: </w:t>
            </w:r>
            <w:r>
              <w:rPr>
                <w:rFonts w:ascii="Aptos" w:hAnsi="Aptos" w:eastAsia="Aptos"/>
                <w:b w:val="0"/>
                <w:i w:val="0"/>
                <w:color w:val="111827"/>
                <w:sz w:val="20"/>
              </w:rPr>
              <w:t>La salida por dispensacion o ajuste afecta el inventario local de la sede activa, pero el consolidado general se recalcula de inmediato.</w:t>
            </w:r>
          </w:p>
        </w:tc>
      </w:tr>
    </w:tbl>
    <w:p/>
    <w:tbl>
      <w:tblPr>
        <w:tblW w:type="auto" w:w="0"/>
        <w:jc w:val="center"/>
        <w:tblLook w:firstColumn="1" w:firstRow="1" w:lastColumn="0" w:lastRow="0" w:noHBand="0" w:noVBand="1" w:val="04A0"/>
      </w:tblPr>
      <w:tblGrid>
        <w:gridCol w:w="10092"/>
      </w:tblGrid>
      <w:tr>
        <w:tc>
          <w:tcPr>
            <w:tcW w:type="dxa" w:w="10092"/>
            <w:shd w:fill="111827"/>
          </w:tcPr>
          <w:p>
            <w:pPr>
              <w:spacing w:before="40" w:after="40" w:line="240" w:lineRule="auto"/>
            </w:pPr>
            <w:r>
              <w:rPr>
                <w:rFonts w:ascii="Aptos" w:hAnsi="Aptos" w:eastAsia="Aptos"/>
                <w:b/>
                <w:i w:val="0"/>
                <w:color w:val="FFFFFF"/>
                <w:sz w:val="19"/>
              </w:rPr>
              <w:t>Algoritmo de inventario local/general</w:t>
            </w:r>
          </w:p>
        </w:tc>
      </w:tr>
      <w:tr>
        <w:tc>
          <w:tcPr>
            <w:tcW w:type="dxa" w:w="10092"/>
            <w:shd w:fill="F8FAFC"/>
          </w:tcPr>
          <w:p>
            <w:pPr>
              <w:spacing w:before="80" w:after="80" w:line="240" w:lineRule="auto"/>
            </w:pPr>
            <w:r>
              <w:rPr>
                <w:rFonts w:ascii="DejaVu Sans Mono" w:hAnsi="DejaVu Sans Mono" w:eastAsia="DejaVu Sans Mono"/>
                <w:b w:val="0"/>
                <w:i w:val="0"/>
                <w:color w:val="111827"/>
                <w:sz w:val="18"/>
              </w:rPr>
              <w:t>stock_local(sede, producto) = suma(existencias disponibles en almacenes de la sede)</w:t>
            </w:r>
            <w:r>
              <w:br/>
            </w:r>
            <w:r>
              <w:rPr>
                <w:rFonts w:ascii="DejaVu Sans Mono" w:hAnsi="DejaVu Sans Mono" w:eastAsia="DejaVu Sans Mono"/>
                <w:b w:val="0"/>
                <w:i w:val="0"/>
                <w:color w:val="111827"/>
                <w:sz w:val="18"/>
              </w:rPr>
              <w:t>stock_general(producto)     = suma(stock_local de todas las sedes activas)</w:t>
            </w:r>
            <w:r>
              <w:br/>
            </w:r>
            <w:r>
              <w:rPr>
                <w:rFonts w:ascii="DejaVu Sans Mono" w:hAnsi="DejaVu Sans Mono" w:eastAsia="DejaVu Sans Mono"/>
                <w:b w:val="0"/>
                <w:i w:val="0"/>
                <w:color w:val="111827"/>
                <w:sz w:val="18"/>
              </w:rPr>
              <w:t>valor_general(producto)     = suma(stock_local x costo_unitario por sede y lote)</w:t>
            </w:r>
          </w:p>
        </w:tc>
      </w:tr>
    </w:tbl>
    <w:p/>
    <w:p>
      <w:pPr>
        <w:spacing w:before="200" w:after="120" w:line="264" w:lineRule="auto"/>
      </w:pPr>
      <w:r>
        <w:rPr>
          <w:rFonts w:ascii="Aptos" w:hAnsi="Aptos" w:eastAsia="Aptos"/>
          <w:b/>
          <w:i w:val="0"/>
          <w:color w:val="4C1D95"/>
          <w:sz w:val="40"/>
        </w:rPr>
        <w:t>6. Solicitudes desde sedes perifericas hacia sede central</w:t>
      </w:r>
    </w:p>
    <w:p>
      <w:pPr>
        <w:spacing w:before="40" w:after="160" w:line="288" w:lineRule="auto"/>
      </w:pPr>
      <w:r>
        <w:rPr>
          <w:rFonts w:ascii="Aptos" w:hAnsi="Aptos" w:eastAsia="Aptos"/>
          <w:b w:val="0"/>
          <w:i w:val="0"/>
          <w:color w:val="111827"/>
          <w:sz w:val="22"/>
        </w:rPr>
        <w:t xml:space="preserve">Las sedes perifericas no emiten orden de compra a proveedor. Cuando su stock local cae por debajo de los umbrales operativos, generan una </w:t>
      </w:r>
      <w:r>
        <w:rPr>
          <w:rFonts w:ascii="Aptos" w:hAnsi="Aptos" w:eastAsia="Aptos"/>
          <w:b/>
          <w:i w:val="0"/>
          <w:color w:val="F97316"/>
          <w:sz w:val="21"/>
        </w:rPr>
        <w:t>solicitud de compra</w:t>
      </w:r>
      <w:r>
        <w:rPr>
          <w:rFonts w:ascii="Aptos" w:hAnsi="Aptos" w:eastAsia="Aptos"/>
          <w:b w:val="0"/>
          <w:i w:val="0"/>
          <w:color w:val="111827"/>
          <w:sz w:val="22"/>
        </w:rPr>
        <w:t xml:space="preserve"> dirigida a la sede central. La central revisa el requerimiento y decide si redistribuye stock, aprueba abastecimiento o prepara una compra externa.</w:t>
      </w:r>
    </w:p>
    <w:p>
      <w:r>
        <w:drawing>
          <wp:inline xmlns:a="http://schemas.openxmlformats.org/drawingml/2006/main" xmlns:pic="http://schemas.openxmlformats.org/drawingml/2006/picture">
            <wp:extent cx="6355080" cy="3574732"/>
            <wp:docPr id="7" name="Picture 7"/>
            <wp:cNvGraphicFramePr>
              <a:graphicFrameLocks noChangeAspect="1"/>
            </wp:cNvGraphicFramePr>
            <a:graphic>
              <a:graphicData uri="http://schemas.openxmlformats.org/drawingml/2006/picture">
                <pic:pic>
                  <pic:nvPicPr>
                    <pic:cNvPr id="0" name="mock_purchase_request_alert.png"/>
                    <pic:cNvPicPr/>
                  </pic:nvPicPr>
                  <pic:blipFill>
                    <a:blip r:embed="rId12"/>
                    <a:stretch>
                      <a:fillRect/>
                    </a:stretch>
                  </pic:blipFill>
                  <pic:spPr>
                    <a:xfrm>
                      <a:off x="0" y="0"/>
                      <a:ext cx="6355080" cy="3574732"/>
                    </a:xfrm>
                    <a:prstGeom prst="rect"/>
                  </pic:spPr>
                </pic:pic>
              </a:graphicData>
            </a:graphic>
          </wp:inline>
        </w:drawing>
      </w:r>
    </w:p>
    <w:p>
      <w:pPr>
        <w:spacing w:before="40" w:after="160" w:line="240" w:lineRule="auto"/>
        <w:jc w:val="center"/>
      </w:pPr>
      <w:r>
        <w:rPr>
          <w:rFonts w:ascii="Aptos" w:hAnsi="Aptos" w:eastAsia="Aptos"/>
          <w:b w:val="0"/>
          <w:i/>
          <w:color w:val="64748B"/>
          <w:sz w:val="19"/>
        </w:rPr>
        <w:t>Figura 6. El mismo indicador del dashboard sirve como tablero de entrada para solicitudes periféricas.</w:t>
      </w:r>
    </w:p>
    <w:tbl>
      <w:tblPr>
        <w:tblStyle w:val="TableGrid"/>
        <w:tblW w:type="auto" w:w="0"/>
        <w:jc w:val="center"/>
        <w:tblLook w:firstColumn="1" w:firstRow="1" w:lastColumn="0" w:lastRow="0" w:noHBand="0" w:noVBand="1" w:val="04A0"/>
      </w:tblPr>
      <w:tblGrid>
        <w:gridCol w:w="3364"/>
        <w:gridCol w:w="3364"/>
        <w:gridCol w:w="3364"/>
      </w:tblGrid>
      <w:tr>
        <w:tc>
          <w:tcPr>
            <w:tcW w:type="dxa" w:w="1814"/>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Estado</w:t>
            </w:r>
          </w:p>
        </w:tc>
        <w:tc>
          <w:tcPr>
            <w:tcW w:type="dxa" w:w="4762"/>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Significado</w:t>
            </w:r>
          </w:p>
        </w:tc>
        <w:tc>
          <w:tcPr>
            <w:tcW w:type="dxa" w:w="2381"/>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Quien lo aplica</w:t>
            </w:r>
          </w:p>
        </w:tc>
      </w:tr>
      <w:tr>
        <w:tc>
          <w:tcPr>
            <w:tcW w:type="dxa" w:w="1814"/>
            <w:vAlign w:val="center"/>
          </w:tcPr>
          <w:p>
            <w:pPr>
              <w:spacing w:before="20" w:after="20" w:line="264" w:lineRule="auto"/>
            </w:pPr>
            <w:r>
              <w:rPr>
                <w:rFonts w:ascii="Aptos" w:hAnsi="Aptos" w:eastAsia="Aptos"/>
                <w:b w:val="0"/>
                <w:i w:val="0"/>
                <w:color w:val="111827"/>
                <w:sz w:val="19"/>
              </w:rPr>
              <w:t>pendiente</w:t>
            </w:r>
          </w:p>
        </w:tc>
        <w:tc>
          <w:tcPr>
            <w:tcW w:type="dxa" w:w="4762"/>
            <w:vAlign w:val="center"/>
          </w:tcPr>
          <w:p>
            <w:pPr>
              <w:spacing w:before="20" w:after="20" w:line="264" w:lineRule="auto"/>
            </w:pPr>
            <w:r>
              <w:rPr>
                <w:rFonts w:ascii="Aptos" w:hAnsi="Aptos" w:eastAsia="Aptos"/>
                <w:b w:val="0"/>
                <w:i w:val="0"/>
                <w:color w:val="111827"/>
                <w:sz w:val="19"/>
              </w:rPr>
              <w:t>Solicitud recien emitida por sede alterna</w:t>
            </w:r>
          </w:p>
        </w:tc>
        <w:tc>
          <w:tcPr>
            <w:tcW w:type="dxa" w:w="2381"/>
            <w:vAlign w:val="center"/>
          </w:tcPr>
          <w:p>
            <w:pPr>
              <w:spacing w:before="20" w:after="20" w:line="264" w:lineRule="auto"/>
            </w:pPr>
            <w:r>
              <w:rPr>
                <w:rFonts w:ascii="Aptos" w:hAnsi="Aptos" w:eastAsia="Aptos"/>
                <w:b w:val="0"/>
                <w:i w:val="0"/>
                <w:color w:val="111827"/>
                <w:sz w:val="19"/>
              </w:rPr>
              <w:t>Sede solicitante</w:t>
            </w:r>
          </w:p>
        </w:tc>
      </w:tr>
      <w:tr>
        <w:tc>
          <w:tcPr>
            <w:tcW w:type="dxa" w:w="1814"/>
            <w:vAlign w:val="center"/>
          </w:tcPr>
          <w:p>
            <w:pPr>
              <w:spacing w:before="20" w:after="20" w:line="264" w:lineRule="auto"/>
            </w:pPr>
            <w:r>
              <w:rPr>
                <w:rFonts w:ascii="Aptos" w:hAnsi="Aptos" w:eastAsia="Aptos"/>
                <w:b w:val="0"/>
                <w:i w:val="0"/>
                <w:color w:val="111827"/>
                <w:sz w:val="19"/>
              </w:rPr>
              <w:t>revisada</w:t>
            </w:r>
          </w:p>
        </w:tc>
        <w:tc>
          <w:tcPr>
            <w:tcW w:type="dxa" w:w="4762"/>
            <w:vAlign w:val="center"/>
          </w:tcPr>
          <w:p>
            <w:pPr>
              <w:spacing w:before="20" w:after="20" w:line="264" w:lineRule="auto"/>
            </w:pPr>
            <w:r>
              <w:rPr>
                <w:rFonts w:ascii="Aptos" w:hAnsi="Aptos" w:eastAsia="Aptos"/>
                <w:b w:val="0"/>
                <w:i w:val="0"/>
                <w:color w:val="111827"/>
                <w:sz w:val="19"/>
              </w:rPr>
              <w:t>Central confirma lectura y analisis</w:t>
            </w:r>
          </w:p>
        </w:tc>
        <w:tc>
          <w:tcPr>
            <w:tcW w:type="dxa" w:w="2381"/>
            <w:vAlign w:val="center"/>
          </w:tcPr>
          <w:p>
            <w:pPr>
              <w:spacing w:before="20" w:after="20" w:line="264" w:lineRule="auto"/>
            </w:pPr>
            <w:r>
              <w:rPr>
                <w:rFonts w:ascii="Aptos" w:hAnsi="Aptos" w:eastAsia="Aptos"/>
                <w:b w:val="0"/>
                <w:i w:val="0"/>
                <w:color w:val="111827"/>
                <w:sz w:val="19"/>
              </w:rPr>
              <w:t>Central</w:t>
            </w:r>
          </w:p>
        </w:tc>
      </w:tr>
      <w:tr>
        <w:tc>
          <w:tcPr>
            <w:tcW w:type="dxa" w:w="1814"/>
            <w:vAlign w:val="center"/>
          </w:tcPr>
          <w:p>
            <w:pPr>
              <w:spacing w:before="20" w:after="20" w:line="264" w:lineRule="auto"/>
            </w:pPr>
            <w:r>
              <w:rPr>
                <w:rFonts w:ascii="Aptos" w:hAnsi="Aptos" w:eastAsia="Aptos"/>
                <w:b w:val="0"/>
                <w:i w:val="0"/>
                <w:color w:val="111827"/>
                <w:sz w:val="19"/>
              </w:rPr>
              <w:t>aprobada</w:t>
            </w:r>
          </w:p>
        </w:tc>
        <w:tc>
          <w:tcPr>
            <w:tcW w:type="dxa" w:w="4762"/>
            <w:vAlign w:val="center"/>
          </w:tcPr>
          <w:p>
            <w:pPr>
              <w:spacing w:before="20" w:after="20" w:line="264" w:lineRule="auto"/>
            </w:pPr>
            <w:r>
              <w:rPr>
                <w:rFonts w:ascii="Aptos" w:hAnsi="Aptos" w:eastAsia="Aptos"/>
                <w:b w:val="0"/>
                <w:i w:val="0"/>
                <w:color w:val="111827"/>
                <w:sz w:val="19"/>
              </w:rPr>
              <w:t>Central acepta abastecer o incluir en compra</w:t>
            </w:r>
          </w:p>
        </w:tc>
        <w:tc>
          <w:tcPr>
            <w:tcW w:type="dxa" w:w="2381"/>
            <w:vAlign w:val="center"/>
          </w:tcPr>
          <w:p>
            <w:pPr>
              <w:spacing w:before="20" w:after="20" w:line="264" w:lineRule="auto"/>
            </w:pPr>
            <w:r>
              <w:rPr>
                <w:rFonts w:ascii="Aptos" w:hAnsi="Aptos" w:eastAsia="Aptos"/>
                <w:b w:val="0"/>
                <w:i w:val="0"/>
                <w:color w:val="111827"/>
                <w:sz w:val="19"/>
              </w:rPr>
              <w:t>Central</w:t>
            </w:r>
          </w:p>
        </w:tc>
      </w:tr>
      <w:tr>
        <w:tc>
          <w:tcPr>
            <w:tcW w:type="dxa" w:w="1814"/>
            <w:vAlign w:val="center"/>
          </w:tcPr>
          <w:p>
            <w:pPr>
              <w:spacing w:before="20" w:after="20" w:line="264" w:lineRule="auto"/>
            </w:pPr>
            <w:r>
              <w:rPr>
                <w:rFonts w:ascii="Aptos" w:hAnsi="Aptos" w:eastAsia="Aptos"/>
                <w:b w:val="0"/>
                <w:i w:val="0"/>
                <w:color w:val="111827"/>
                <w:sz w:val="19"/>
              </w:rPr>
              <w:t>rechazada</w:t>
            </w:r>
          </w:p>
        </w:tc>
        <w:tc>
          <w:tcPr>
            <w:tcW w:type="dxa" w:w="4762"/>
            <w:vAlign w:val="center"/>
          </w:tcPr>
          <w:p>
            <w:pPr>
              <w:spacing w:before="20" w:after="20" w:line="264" w:lineRule="auto"/>
            </w:pPr>
            <w:r>
              <w:rPr>
                <w:rFonts w:ascii="Aptos" w:hAnsi="Aptos" w:eastAsia="Aptos"/>
                <w:b w:val="0"/>
                <w:i w:val="0"/>
                <w:color w:val="111827"/>
                <w:sz w:val="19"/>
              </w:rPr>
              <w:t>Central descarta la solicitud con observacion</w:t>
            </w:r>
          </w:p>
        </w:tc>
        <w:tc>
          <w:tcPr>
            <w:tcW w:type="dxa" w:w="2381"/>
            <w:vAlign w:val="center"/>
          </w:tcPr>
          <w:p>
            <w:pPr>
              <w:spacing w:before="20" w:after="20" w:line="264" w:lineRule="auto"/>
            </w:pPr>
            <w:r>
              <w:rPr>
                <w:rFonts w:ascii="Aptos" w:hAnsi="Aptos" w:eastAsia="Aptos"/>
                <w:b w:val="0"/>
                <w:i w:val="0"/>
                <w:color w:val="111827"/>
                <w:sz w:val="19"/>
              </w:rPr>
              <w:t>Central</w:t>
            </w:r>
          </w:p>
        </w:tc>
      </w:tr>
      <w:tr>
        <w:tc>
          <w:tcPr>
            <w:tcW w:type="dxa" w:w="1814"/>
            <w:vAlign w:val="center"/>
          </w:tcPr>
          <w:p>
            <w:pPr>
              <w:spacing w:before="20" w:after="20" w:line="264" w:lineRule="auto"/>
            </w:pPr>
            <w:r>
              <w:rPr>
                <w:rFonts w:ascii="Aptos" w:hAnsi="Aptos" w:eastAsia="Aptos"/>
                <w:b w:val="0"/>
                <w:i w:val="0"/>
                <w:color w:val="111827"/>
                <w:sz w:val="19"/>
              </w:rPr>
              <w:t>atendida</w:t>
            </w:r>
          </w:p>
        </w:tc>
        <w:tc>
          <w:tcPr>
            <w:tcW w:type="dxa" w:w="4762"/>
            <w:vAlign w:val="center"/>
          </w:tcPr>
          <w:p>
            <w:pPr>
              <w:spacing w:before="20" w:after="20" w:line="264" w:lineRule="auto"/>
            </w:pPr>
            <w:r>
              <w:rPr>
                <w:rFonts w:ascii="Aptos" w:hAnsi="Aptos" w:eastAsia="Aptos"/>
                <w:b w:val="0"/>
                <w:i w:val="0"/>
                <w:color w:val="111827"/>
                <w:sz w:val="19"/>
              </w:rPr>
              <w:t>Abastecimiento ya ejecutado</w:t>
            </w:r>
          </w:p>
        </w:tc>
        <w:tc>
          <w:tcPr>
            <w:tcW w:type="dxa" w:w="2381"/>
            <w:vAlign w:val="center"/>
          </w:tcPr>
          <w:p>
            <w:pPr>
              <w:spacing w:before="20" w:after="20" w:line="264" w:lineRule="auto"/>
            </w:pPr>
            <w:r>
              <w:rPr>
                <w:rFonts w:ascii="Aptos" w:hAnsi="Aptos" w:eastAsia="Aptos"/>
                <w:b w:val="0"/>
                <w:i w:val="0"/>
                <w:color w:val="111827"/>
                <w:sz w:val="19"/>
              </w:rPr>
              <w:t>Central</w:t>
            </w:r>
          </w:p>
        </w:tc>
      </w:tr>
    </w:tbl>
    <w:p/>
    <w:tbl>
      <w:tblPr>
        <w:tblW w:type="auto" w:w="0"/>
        <w:jc w:val="center"/>
        <w:tblLook w:firstColumn="1" w:firstRow="1" w:lastColumn="0" w:lastRow="0" w:noHBand="0" w:noVBand="1" w:val="04A0"/>
      </w:tblPr>
      <w:tblGrid>
        <w:gridCol w:w="10092"/>
      </w:tblGrid>
      <w:tr>
        <w:tc>
          <w:tcPr>
            <w:tcW w:type="dxa" w:w="10092"/>
            <w:shd w:fill="111827"/>
          </w:tcPr>
          <w:p>
            <w:pPr>
              <w:spacing w:before="40" w:after="40" w:line="240" w:lineRule="auto"/>
            </w:pPr>
            <w:r>
              <w:rPr>
                <w:rFonts w:ascii="Aptos" w:hAnsi="Aptos" w:eastAsia="Aptos"/>
                <w:b/>
                <w:i w:val="0"/>
                <w:color w:val="FFFFFF"/>
                <w:sz w:val="19"/>
              </w:rPr>
              <w:t>Algoritmo de solicitud a central</w:t>
            </w:r>
          </w:p>
        </w:tc>
      </w:tr>
      <w:tr>
        <w:tc>
          <w:tcPr>
            <w:tcW w:type="dxa" w:w="10092"/>
            <w:shd w:fill="F8FAFC"/>
          </w:tcPr>
          <w:p>
            <w:pPr>
              <w:spacing w:before="80" w:after="80" w:line="240" w:lineRule="auto"/>
            </w:pPr>
            <w:r>
              <w:rPr>
                <w:rFonts w:ascii="DejaVu Sans Mono" w:hAnsi="DejaVu Sans Mono" w:eastAsia="DejaVu Sans Mono"/>
                <w:b w:val="0"/>
                <w:i w:val="0"/>
                <w:color w:val="111827"/>
                <w:sz w:val="18"/>
              </w:rPr>
              <w:t>1. La sede periferica registra items, cantidades y prioridad.</w:t>
            </w:r>
            <w:r>
              <w:br/>
            </w:r>
            <w:r>
              <w:rPr>
                <w:rFonts w:ascii="DejaVu Sans Mono" w:hAnsi="DejaVu Sans Mono" w:eastAsia="DejaVu Sans Mono"/>
                <w:b w:val="0"/>
                <w:i w:val="0"/>
                <w:color w:val="111827"/>
                <w:sz w:val="18"/>
              </w:rPr>
              <w:t>2. Se crea consecutivo y se guarda fecha/hora.</w:t>
            </w:r>
            <w:r>
              <w:br/>
            </w:r>
            <w:r>
              <w:rPr>
                <w:rFonts w:ascii="DejaVu Sans Mono" w:hAnsi="DejaVu Sans Mono" w:eastAsia="DejaVu Sans Mono"/>
                <w:b w:val="0"/>
                <w:i w:val="0"/>
                <w:color w:val="111827"/>
                <w:sz w:val="18"/>
              </w:rPr>
              <w:t>3. El banner superior de la central incrementa el indicador.</w:t>
            </w:r>
            <w:r>
              <w:br/>
            </w:r>
            <w:r>
              <w:rPr>
                <w:rFonts w:ascii="DejaVu Sans Mono" w:hAnsi="DejaVu Sans Mono" w:eastAsia="DejaVu Sans Mono"/>
                <w:b w:val="0"/>
                <w:i w:val="0"/>
                <w:color w:val="111827"/>
                <w:sz w:val="18"/>
              </w:rPr>
              <w:t>4. La central abre la solicitud, revisa stock local/general y decide:</w:t>
            </w:r>
            <w:r>
              <w:br/>
            </w:r>
            <w:r>
              <w:rPr>
                <w:rFonts w:ascii="DejaVu Sans Mono" w:hAnsi="DejaVu Sans Mono" w:eastAsia="DejaVu Sans Mono"/>
                <w:b w:val="0"/>
                <w:i w:val="0"/>
                <w:color w:val="111827"/>
                <w:sz w:val="18"/>
              </w:rPr>
              <w:t xml:space="preserve">   - revisada</w:t>
            </w:r>
            <w:r>
              <w:br/>
            </w:r>
            <w:r>
              <w:rPr>
                <w:rFonts w:ascii="DejaVu Sans Mono" w:hAnsi="DejaVu Sans Mono" w:eastAsia="DejaVu Sans Mono"/>
                <w:b w:val="0"/>
                <w:i w:val="0"/>
                <w:color w:val="111827"/>
                <w:sz w:val="18"/>
              </w:rPr>
              <w:t xml:space="preserve">   - aprobada</w:t>
            </w:r>
            <w:r>
              <w:br/>
            </w:r>
            <w:r>
              <w:rPr>
                <w:rFonts w:ascii="DejaVu Sans Mono" w:hAnsi="DejaVu Sans Mono" w:eastAsia="DejaVu Sans Mono"/>
                <w:b w:val="0"/>
                <w:i w:val="0"/>
                <w:color w:val="111827"/>
                <w:sz w:val="18"/>
              </w:rPr>
              <w:t xml:space="preserve">   - rechazada</w:t>
            </w:r>
            <w:r>
              <w:br/>
            </w:r>
            <w:r>
              <w:rPr>
                <w:rFonts w:ascii="DejaVu Sans Mono" w:hAnsi="DejaVu Sans Mono" w:eastAsia="DejaVu Sans Mono"/>
                <w:b w:val="0"/>
                <w:i w:val="0"/>
                <w:color w:val="111827"/>
                <w:sz w:val="18"/>
              </w:rPr>
              <w:t xml:space="preserve">   - atendida</w:t>
            </w:r>
            <w:r>
              <w:br/>
            </w:r>
            <w:r>
              <w:rPr>
                <w:rFonts w:ascii="DejaVu Sans Mono" w:hAnsi="DejaVu Sans Mono" w:eastAsia="DejaVu Sans Mono"/>
                <w:b w:val="0"/>
                <w:i w:val="0"/>
                <w:color w:val="111827"/>
                <w:sz w:val="18"/>
              </w:rPr>
              <w:t>5. Todo el flujo queda en trazabilidad de procesos terminados.</w:t>
            </w:r>
          </w:p>
        </w:tc>
      </w:tr>
    </w:tbl>
    <w:p/>
    <w:p>
      <w:pPr>
        <w:spacing w:before="200" w:after="120" w:line="264" w:lineRule="auto"/>
      </w:pPr>
      <w:r>
        <w:rPr>
          <w:rFonts w:ascii="Aptos" w:hAnsi="Aptos" w:eastAsia="Aptos"/>
          <w:b/>
          <w:i w:val="0"/>
          <w:color w:val="4C1D95"/>
          <w:sz w:val="40"/>
        </w:rPr>
        <w:t>7. Gestor de perfiles y usabilidades por autorizacion</w:t>
      </w:r>
    </w:p>
    <w:p>
      <w:pPr>
        <w:spacing w:before="40" w:after="160" w:line="288" w:lineRule="auto"/>
      </w:pPr>
      <w:r>
        <w:rPr>
          <w:rFonts w:ascii="Aptos" w:hAnsi="Aptos" w:eastAsia="Aptos"/>
          <w:b w:val="0"/>
          <w:i w:val="0"/>
          <w:color w:val="111827"/>
          <w:sz w:val="22"/>
        </w:rPr>
        <w:t xml:space="preserve">El gestor de perfiles se ubica en el banner superior y en el centro operativo. Solo el </w:t>
      </w:r>
      <w:r>
        <w:rPr>
          <w:rFonts w:ascii="Aptos" w:hAnsi="Aptos" w:eastAsia="Aptos"/>
          <w:b/>
          <w:i w:val="0"/>
          <w:color w:val="4C1D95"/>
          <w:sz w:val="21"/>
        </w:rPr>
        <w:t>administrador principal</w:t>
      </w:r>
      <w:r>
        <w:rPr>
          <w:rFonts w:ascii="Aptos" w:hAnsi="Aptos" w:eastAsia="Aptos"/>
          <w:b w:val="0"/>
          <w:i w:val="0"/>
          <w:color w:val="111827"/>
          <w:sz w:val="22"/>
        </w:rPr>
        <w:t xml:space="preserve"> o un rol con usabilidades explicitas puede crear perfiles, adjudicarlos y retirarlos.</w:t>
      </w:r>
    </w:p>
    <w:p>
      <w:r>
        <w:drawing>
          <wp:inline xmlns:a="http://schemas.openxmlformats.org/drawingml/2006/main" xmlns:pic="http://schemas.openxmlformats.org/drawingml/2006/picture">
            <wp:extent cx="6355080" cy="3574732"/>
            <wp:docPr id="8" name="Picture 8"/>
            <wp:cNvGraphicFramePr>
              <a:graphicFrameLocks noChangeAspect="1"/>
            </wp:cNvGraphicFramePr>
            <a:graphic>
              <a:graphicData uri="http://schemas.openxmlformats.org/drawingml/2006/picture">
                <pic:pic>
                  <pic:nvPicPr>
                    <pic:cNvPr id="0" name="mock_profile_manager_dashboard.png"/>
                    <pic:cNvPicPr/>
                  </pic:nvPicPr>
                  <pic:blipFill>
                    <a:blip r:embed="rId15"/>
                    <a:stretch>
                      <a:fillRect/>
                    </a:stretch>
                  </pic:blipFill>
                  <pic:spPr>
                    <a:xfrm>
                      <a:off x="0" y="0"/>
                      <a:ext cx="6355080" cy="3574732"/>
                    </a:xfrm>
                    <a:prstGeom prst="rect"/>
                  </pic:spPr>
                </pic:pic>
              </a:graphicData>
            </a:graphic>
          </wp:inline>
        </w:drawing>
      </w:r>
    </w:p>
    <w:p>
      <w:pPr>
        <w:spacing w:before="40" w:after="160" w:line="240" w:lineRule="auto"/>
        <w:jc w:val="center"/>
      </w:pPr>
      <w:r>
        <w:rPr>
          <w:rFonts w:ascii="Aptos" w:hAnsi="Aptos" w:eastAsia="Aptos"/>
          <w:b w:val="0"/>
          <w:i/>
          <w:color w:val="64748B"/>
          <w:sz w:val="19"/>
        </w:rPr>
        <w:t>Figura 7. Creacion de perfiles, adjudicacion a usuarios y sedes autorizadas.</w:t>
      </w:r>
    </w:p>
    <w:p>
      <w:r>
        <w:drawing>
          <wp:inline xmlns:a="http://schemas.openxmlformats.org/drawingml/2006/main" xmlns:pic="http://schemas.openxmlformats.org/drawingml/2006/picture">
            <wp:extent cx="5532120" cy="3319272"/>
            <wp:docPr id="9" name="Picture 9"/>
            <wp:cNvGraphicFramePr>
              <a:graphicFrameLocks noChangeAspect="1"/>
            </wp:cNvGraphicFramePr>
            <a:graphic>
              <a:graphicData uri="http://schemas.openxmlformats.org/drawingml/2006/picture">
                <pic:pic>
                  <pic:nvPicPr>
                    <pic:cNvPr id="0" name="mock_permissions_matrix.png"/>
                    <pic:cNvPicPr/>
                  </pic:nvPicPr>
                  <pic:blipFill>
                    <a:blip r:embed="rId16"/>
                    <a:stretch>
                      <a:fillRect/>
                    </a:stretch>
                  </pic:blipFill>
                  <pic:spPr>
                    <a:xfrm>
                      <a:off x="0" y="0"/>
                      <a:ext cx="5532120" cy="3319272"/>
                    </a:xfrm>
                    <a:prstGeom prst="rect"/>
                  </pic:spPr>
                </pic:pic>
              </a:graphicData>
            </a:graphic>
          </wp:inline>
        </w:drawing>
      </w:r>
    </w:p>
    <w:p>
      <w:pPr>
        <w:spacing w:before="40" w:after="160" w:line="240" w:lineRule="auto"/>
        <w:jc w:val="center"/>
      </w:pPr>
      <w:r>
        <w:rPr>
          <w:rFonts w:ascii="Aptos" w:hAnsi="Aptos" w:eastAsia="Aptos"/>
          <w:b w:val="0"/>
          <w:i/>
          <w:color w:val="64748B"/>
          <w:sz w:val="19"/>
        </w:rPr>
        <w:t>Figura 8. Matriz de usabilidades: modulos visibles y procesos habilitados por rol.</w:t>
      </w:r>
    </w:p>
    <w:tbl>
      <w:tblPr>
        <w:tblStyle w:val="TableGrid"/>
        <w:tblW w:type="auto" w:w="0"/>
        <w:jc w:val="center"/>
        <w:tblLook w:firstColumn="1" w:firstRow="1" w:lastColumn="0" w:lastRow="0" w:noHBand="0" w:noVBand="1" w:val="04A0"/>
      </w:tblPr>
      <w:tblGrid>
        <w:gridCol w:w="3364"/>
        <w:gridCol w:w="3364"/>
        <w:gridCol w:w="3364"/>
      </w:tblGrid>
      <w:tr>
        <w:tc>
          <w:tcPr>
            <w:tcW w:type="dxa" w:w="2494"/>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Usabilidad</w:t>
            </w:r>
          </w:p>
        </w:tc>
        <w:tc>
          <w:tcPr>
            <w:tcW w:type="dxa" w:w="4535"/>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Otorga acceso a</w:t>
            </w:r>
          </w:p>
        </w:tc>
        <w:tc>
          <w:tcPr>
            <w:tcW w:type="dxa" w:w="2268"/>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Perfil recomendado</w:t>
            </w:r>
          </w:p>
        </w:tc>
      </w:tr>
      <w:tr>
        <w:tc>
          <w:tcPr>
            <w:tcW w:type="dxa" w:w="2494"/>
            <w:vAlign w:val="center"/>
          </w:tcPr>
          <w:p>
            <w:pPr>
              <w:spacing w:before="20" w:after="20" w:line="264" w:lineRule="auto"/>
            </w:pPr>
            <w:r>
              <w:rPr>
                <w:rFonts w:ascii="Aptos" w:hAnsi="Aptos" w:eastAsia="Aptos"/>
                <w:b w:val="0"/>
                <w:i w:val="0"/>
                <w:color w:val="111827"/>
                <w:sz w:val="19"/>
              </w:rPr>
              <w:t>sites.manage</w:t>
            </w:r>
          </w:p>
        </w:tc>
        <w:tc>
          <w:tcPr>
            <w:tcW w:type="dxa" w:w="4535"/>
            <w:vAlign w:val="center"/>
          </w:tcPr>
          <w:p>
            <w:pPr>
              <w:spacing w:before="20" w:after="20" w:line="264" w:lineRule="auto"/>
            </w:pPr>
            <w:r>
              <w:rPr>
                <w:rFonts w:ascii="Aptos" w:hAnsi="Aptos" w:eastAsia="Aptos"/>
                <w:b w:val="0"/>
                <w:i w:val="0"/>
                <w:color w:val="111827"/>
                <w:sz w:val="19"/>
              </w:rPr>
              <w:t>Gestor de sedes y provisionamiento</w:t>
            </w:r>
          </w:p>
        </w:tc>
        <w:tc>
          <w:tcPr>
            <w:tcW w:type="dxa" w:w="2268"/>
            <w:vAlign w:val="center"/>
          </w:tcPr>
          <w:p>
            <w:pPr>
              <w:spacing w:before="20" w:after="20" w:line="264" w:lineRule="auto"/>
            </w:pPr>
            <w:r>
              <w:rPr>
                <w:rFonts w:ascii="Aptos" w:hAnsi="Aptos" w:eastAsia="Aptos"/>
                <w:b w:val="0"/>
                <w:i w:val="0"/>
                <w:color w:val="111827"/>
                <w:sz w:val="19"/>
              </w:rPr>
              <w:t>Administrador principal</w:t>
            </w:r>
          </w:p>
        </w:tc>
      </w:tr>
      <w:tr>
        <w:tc>
          <w:tcPr>
            <w:tcW w:type="dxa" w:w="2494"/>
            <w:vAlign w:val="center"/>
          </w:tcPr>
          <w:p>
            <w:pPr>
              <w:spacing w:before="20" w:after="20" w:line="264" w:lineRule="auto"/>
            </w:pPr>
            <w:r>
              <w:rPr>
                <w:rFonts w:ascii="Aptos" w:hAnsi="Aptos" w:eastAsia="Aptos"/>
                <w:b w:val="0"/>
                <w:i w:val="0"/>
                <w:color w:val="111827"/>
                <w:sz w:val="19"/>
              </w:rPr>
              <w:t>sites.delete</w:t>
            </w:r>
          </w:p>
        </w:tc>
        <w:tc>
          <w:tcPr>
            <w:tcW w:type="dxa" w:w="4535"/>
            <w:vAlign w:val="center"/>
          </w:tcPr>
          <w:p>
            <w:pPr>
              <w:spacing w:before="20" w:after="20" w:line="264" w:lineRule="auto"/>
            </w:pPr>
            <w:r>
              <w:rPr>
                <w:rFonts w:ascii="Aptos" w:hAnsi="Aptos" w:eastAsia="Aptos"/>
                <w:b w:val="0"/>
                <w:i w:val="0"/>
                <w:color w:val="111827"/>
                <w:sz w:val="19"/>
              </w:rPr>
              <w:t>Desactivacion logica de sedes</w:t>
            </w:r>
          </w:p>
        </w:tc>
        <w:tc>
          <w:tcPr>
            <w:tcW w:type="dxa" w:w="2268"/>
            <w:vAlign w:val="center"/>
          </w:tcPr>
          <w:p>
            <w:pPr>
              <w:spacing w:before="20" w:after="20" w:line="264" w:lineRule="auto"/>
            </w:pPr>
            <w:r>
              <w:rPr>
                <w:rFonts w:ascii="Aptos" w:hAnsi="Aptos" w:eastAsia="Aptos"/>
                <w:b w:val="0"/>
                <w:i w:val="0"/>
                <w:color w:val="111827"/>
                <w:sz w:val="19"/>
              </w:rPr>
              <w:t>Administrador principal</w:t>
            </w:r>
          </w:p>
        </w:tc>
      </w:tr>
      <w:tr>
        <w:tc>
          <w:tcPr>
            <w:tcW w:type="dxa" w:w="2494"/>
            <w:vAlign w:val="center"/>
          </w:tcPr>
          <w:p>
            <w:pPr>
              <w:spacing w:before="20" w:after="20" w:line="264" w:lineRule="auto"/>
            </w:pPr>
            <w:r>
              <w:rPr>
                <w:rFonts w:ascii="Aptos" w:hAnsi="Aptos" w:eastAsia="Aptos"/>
                <w:b w:val="0"/>
                <w:i w:val="0"/>
                <w:color w:val="111827"/>
                <w:sz w:val="19"/>
              </w:rPr>
              <w:t>profiles.manage</w:t>
            </w:r>
          </w:p>
        </w:tc>
        <w:tc>
          <w:tcPr>
            <w:tcW w:type="dxa" w:w="4535"/>
            <w:vAlign w:val="center"/>
          </w:tcPr>
          <w:p>
            <w:pPr>
              <w:spacing w:before="20" w:after="20" w:line="264" w:lineRule="auto"/>
            </w:pPr>
            <w:r>
              <w:rPr>
                <w:rFonts w:ascii="Aptos" w:hAnsi="Aptos" w:eastAsia="Aptos"/>
                <w:b w:val="0"/>
                <w:i w:val="0"/>
                <w:color w:val="111827"/>
                <w:sz w:val="19"/>
              </w:rPr>
              <w:t>Crear/eliminar perfiles</w:t>
            </w:r>
          </w:p>
        </w:tc>
        <w:tc>
          <w:tcPr>
            <w:tcW w:type="dxa" w:w="2268"/>
            <w:vAlign w:val="center"/>
          </w:tcPr>
          <w:p>
            <w:pPr>
              <w:spacing w:before="20" w:after="20" w:line="264" w:lineRule="auto"/>
            </w:pPr>
            <w:r>
              <w:rPr>
                <w:rFonts w:ascii="Aptos" w:hAnsi="Aptos" w:eastAsia="Aptos"/>
                <w:b w:val="0"/>
                <w:i w:val="0"/>
                <w:color w:val="111827"/>
                <w:sz w:val="19"/>
              </w:rPr>
              <w:t>Administrador principal</w:t>
            </w:r>
          </w:p>
        </w:tc>
      </w:tr>
      <w:tr>
        <w:tc>
          <w:tcPr>
            <w:tcW w:type="dxa" w:w="2494"/>
            <w:vAlign w:val="center"/>
          </w:tcPr>
          <w:p>
            <w:pPr>
              <w:spacing w:before="20" w:after="20" w:line="264" w:lineRule="auto"/>
            </w:pPr>
            <w:r>
              <w:rPr>
                <w:rFonts w:ascii="Aptos" w:hAnsi="Aptos" w:eastAsia="Aptos"/>
                <w:b w:val="0"/>
                <w:i w:val="0"/>
                <w:color w:val="111827"/>
                <w:sz w:val="19"/>
              </w:rPr>
              <w:t>profiles.assign</w:t>
            </w:r>
          </w:p>
        </w:tc>
        <w:tc>
          <w:tcPr>
            <w:tcW w:type="dxa" w:w="4535"/>
            <w:vAlign w:val="center"/>
          </w:tcPr>
          <w:p>
            <w:pPr>
              <w:spacing w:before="20" w:after="20" w:line="264" w:lineRule="auto"/>
            </w:pPr>
            <w:r>
              <w:rPr>
                <w:rFonts w:ascii="Aptos" w:hAnsi="Aptos" w:eastAsia="Aptos"/>
                <w:b w:val="0"/>
                <w:i w:val="0"/>
                <w:color w:val="111827"/>
                <w:sz w:val="19"/>
              </w:rPr>
              <w:t>Adjudicar perfil y sedes a usuarios</w:t>
            </w:r>
          </w:p>
        </w:tc>
        <w:tc>
          <w:tcPr>
            <w:tcW w:type="dxa" w:w="2268"/>
            <w:vAlign w:val="center"/>
          </w:tcPr>
          <w:p>
            <w:pPr>
              <w:spacing w:before="20" w:after="20" w:line="264" w:lineRule="auto"/>
            </w:pPr>
            <w:r>
              <w:rPr>
                <w:rFonts w:ascii="Aptos" w:hAnsi="Aptos" w:eastAsia="Aptos"/>
                <w:b w:val="0"/>
                <w:i w:val="0"/>
                <w:color w:val="111827"/>
                <w:sz w:val="19"/>
              </w:rPr>
              <w:t>Administrador principal</w:t>
            </w:r>
          </w:p>
        </w:tc>
      </w:tr>
      <w:tr>
        <w:tc>
          <w:tcPr>
            <w:tcW w:type="dxa" w:w="2494"/>
            <w:vAlign w:val="center"/>
          </w:tcPr>
          <w:p>
            <w:pPr>
              <w:spacing w:before="20" w:after="20" w:line="264" w:lineRule="auto"/>
            </w:pPr>
            <w:r>
              <w:rPr>
                <w:rFonts w:ascii="Aptos" w:hAnsi="Aptos" w:eastAsia="Aptos"/>
                <w:b w:val="0"/>
                <w:i w:val="0"/>
                <w:color w:val="111827"/>
                <w:sz w:val="19"/>
              </w:rPr>
              <w:t>requests.branch.create</w:t>
            </w:r>
          </w:p>
        </w:tc>
        <w:tc>
          <w:tcPr>
            <w:tcW w:type="dxa" w:w="4535"/>
            <w:vAlign w:val="center"/>
          </w:tcPr>
          <w:p>
            <w:pPr>
              <w:spacing w:before="20" w:after="20" w:line="264" w:lineRule="auto"/>
            </w:pPr>
            <w:r>
              <w:rPr>
                <w:rFonts w:ascii="Aptos" w:hAnsi="Aptos" w:eastAsia="Aptos"/>
                <w:b w:val="0"/>
                <w:i w:val="0"/>
                <w:color w:val="111827"/>
                <w:sz w:val="19"/>
              </w:rPr>
              <w:t>Solicitar items a central</w:t>
            </w:r>
          </w:p>
        </w:tc>
        <w:tc>
          <w:tcPr>
            <w:tcW w:type="dxa" w:w="2268"/>
            <w:vAlign w:val="center"/>
          </w:tcPr>
          <w:p>
            <w:pPr>
              <w:spacing w:before="20" w:after="20" w:line="264" w:lineRule="auto"/>
            </w:pPr>
            <w:r>
              <w:rPr>
                <w:rFonts w:ascii="Aptos" w:hAnsi="Aptos" w:eastAsia="Aptos"/>
                <w:b w:val="0"/>
                <w:i w:val="0"/>
                <w:color w:val="111827"/>
                <w:sz w:val="19"/>
              </w:rPr>
              <w:t>Gerente, almacenista, farmaceutico</w:t>
            </w:r>
          </w:p>
        </w:tc>
      </w:tr>
      <w:tr>
        <w:tc>
          <w:tcPr>
            <w:tcW w:type="dxa" w:w="2494"/>
            <w:vAlign w:val="center"/>
          </w:tcPr>
          <w:p>
            <w:pPr>
              <w:spacing w:before="20" w:after="20" w:line="264" w:lineRule="auto"/>
            </w:pPr>
            <w:r>
              <w:rPr>
                <w:rFonts w:ascii="Aptos" w:hAnsi="Aptos" w:eastAsia="Aptos"/>
                <w:b w:val="0"/>
                <w:i w:val="0"/>
                <w:color w:val="111827"/>
                <w:sz w:val="19"/>
              </w:rPr>
              <w:t>requests.central.review</w:t>
            </w:r>
          </w:p>
        </w:tc>
        <w:tc>
          <w:tcPr>
            <w:tcW w:type="dxa" w:w="4535"/>
            <w:vAlign w:val="center"/>
          </w:tcPr>
          <w:p>
            <w:pPr>
              <w:spacing w:before="20" w:after="20" w:line="264" w:lineRule="auto"/>
            </w:pPr>
            <w:r>
              <w:rPr>
                <w:rFonts w:ascii="Aptos" w:hAnsi="Aptos" w:eastAsia="Aptos"/>
                <w:b w:val="0"/>
                <w:i w:val="0"/>
                <w:color w:val="111827"/>
                <w:sz w:val="19"/>
              </w:rPr>
              <w:t>Revisar/aprobar solicitudes perifericas</w:t>
            </w:r>
          </w:p>
        </w:tc>
        <w:tc>
          <w:tcPr>
            <w:tcW w:type="dxa" w:w="2268"/>
            <w:vAlign w:val="center"/>
          </w:tcPr>
          <w:p>
            <w:pPr>
              <w:spacing w:before="20" w:after="20" w:line="264" w:lineRule="auto"/>
            </w:pPr>
            <w:r>
              <w:rPr>
                <w:rFonts w:ascii="Aptos" w:hAnsi="Aptos" w:eastAsia="Aptos"/>
                <w:b w:val="0"/>
                <w:i w:val="0"/>
                <w:color w:val="111827"/>
                <w:sz w:val="19"/>
              </w:rPr>
              <w:t>Central, compras, gerente</w:t>
            </w:r>
          </w:p>
        </w:tc>
      </w:tr>
      <w:tr>
        <w:tc>
          <w:tcPr>
            <w:tcW w:type="dxa" w:w="2494"/>
            <w:vAlign w:val="center"/>
          </w:tcPr>
          <w:p>
            <w:pPr>
              <w:spacing w:before="20" w:after="20" w:line="264" w:lineRule="auto"/>
            </w:pPr>
            <w:r>
              <w:rPr>
                <w:rFonts w:ascii="Aptos" w:hAnsi="Aptos" w:eastAsia="Aptos"/>
                <w:b w:val="0"/>
                <w:i w:val="0"/>
                <w:color w:val="111827"/>
                <w:sz w:val="19"/>
              </w:rPr>
              <w:t>auth.site.switch</w:t>
            </w:r>
          </w:p>
        </w:tc>
        <w:tc>
          <w:tcPr>
            <w:tcW w:type="dxa" w:w="4535"/>
            <w:vAlign w:val="center"/>
          </w:tcPr>
          <w:p>
            <w:pPr>
              <w:spacing w:before="20" w:after="20" w:line="264" w:lineRule="auto"/>
            </w:pPr>
            <w:r>
              <w:rPr>
                <w:rFonts w:ascii="Aptos" w:hAnsi="Aptos" w:eastAsia="Aptos"/>
                <w:b w:val="0"/>
                <w:i w:val="0"/>
                <w:color w:val="111827"/>
                <w:sz w:val="19"/>
              </w:rPr>
              <w:t>Cambiar sede durante la sesion</w:t>
            </w:r>
          </w:p>
        </w:tc>
        <w:tc>
          <w:tcPr>
            <w:tcW w:type="dxa" w:w="2268"/>
            <w:vAlign w:val="center"/>
          </w:tcPr>
          <w:p>
            <w:pPr>
              <w:spacing w:before="20" w:after="20" w:line="264" w:lineRule="auto"/>
            </w:pPr>
            <w:r>
              <w:rPr>
                <w:rFonts w:ascii="Aptos" w:hAnsi="Aptos" w:eastAsia="Aptos"/>
                <w:b w:val="0"/>
                <w:i w:val="0"/>
                <w:color w:val="111827"/>
                <w:sz w:val="19"/>
              </w:rPr>
              <w:t>Usuarios multisede</w:t>
            </w:r>
          </w:p>
        </w:tc>
      </w:tr>
    </w:tbl>
    <w:p/>
    <w:p>
      <w:pPr>
        <w:spacing w:before="200" w:after="120" w:line="264" w:lineRule="auto"/>
      </w:pPr>
      <w:r>
        <w:rPr>
          <w:rFonts w:ascii="Aptos" w:hAnsi="Aptos" w:eastAsia="Aptos"/>
          <w:b/>
          <w:i w:val="0"/>
          <w:color w:val="4C1D95"/>
          <w:sz w:val="40"/>
        </w:rPr>
        <w:t>8. Lectores de codigo de barras y auto deteccion</w:t>
      </w:r>
    </w:p>
    <w:p>
      <w:pPr>
        <w:spacing w:before="40" w:after="160" w:line="288" w:lineRule="auto"/>
      </w:pPr>
      <w:r>
        <w:rPr>
          <w:rFonts w:ascii="Aptos" w:hAnsi="Aptos" w:eastAsia="Aptos"/>
          <w:b w:val="0"/>
          <w:i w:val="0"/>
          <w:color w:val="111827"/>
          <w:sz w:val="22"/>
        </w:rPr>
        <w:t>La plataforma admite lapiz optico, escaner de ranura, CCD, imagen y laser de pistola, sin importar si su formato fisico es pistola, fijo, de mesa o wearable. La auto deteccion prioriza WebHID / WebSerial / WebUSB, despues camara o imagen, y finalmente modo keyboard wedge.</w:t>
      </w:r>
    </w:p>
    <w:p>
      <w:r>
        <w:drawing>
          <wp:inline xmlns:a="http://schemas.openxmlformats.org/drawingml/2006/main" xmlns:pic="http://schemas.openxmlformats.org/drawingml/2006/picture">
            <wp:extent cx="6217920" cy="4274820"/>
            <wp:docPr id="10" name="Picture 10"/>
            <wp:cNvGraphicFramePr>
              <a:graphicFrameLocks noChangeAspect="1"/>
            </wp:cNvGraphicFramePr>
            <a:graphic>
              <a:graphicData uri="http://schemas.openxmlformats.org/drawingml/2006/picture">
                <pic:pic>
                  <pic:nvPicPr>
                    <pic:cNvPr id="0" name="mock_inventory_scanner.png"/>
                    <pic:cNvPicPr/>
                  </pic:nvPicPr>
                  <pic:blipFill>
                    <a:blip r:embed="rId17"/>
                    <a:stretch>
                      <a:fillRect/>
                    </a:stretch>
                  </pic:blipFill>
                  <pic:spPr>
                    <a:xfrm>
                      <a:off x="0" y="0"/>
                      <a:ext cx="6217920" cy="4274820"/>
                    </a:xfrm>
                    <a:prstGeom prst="rect"/>
                  </pic:spPr>
                </pic:pic>
              </a:graphicData>
            </a:graphic>
          </wp:inline>
        </w:drawing>
      </w:r>
    </w:p>
    <w:p>
      <w:pPr>
        <w:spacing w:before="40" w:after="160" w:line="240" w:lineRule="auto"/>
        <w:jc w:val="center"/>
      </w:pPr>
      <w:r>
        <w:rPr>
          <w:rFonts w:ascii="Aptos" w:hAnsi="Aptos" w:eastAsia="Aptos"/>
          <w:b w:val="0"/>
          <w:i/>
          <w:color w:val="64748B"/>
          <w:sz w:val="19"/>
        </w:rPr>
        <w:t>Figura 9. Pantalla de inventario con escaneo universal para consulta, ingreso y egreso.</w:t>
      </w:r>
    </w:p>
    <w:p>
      <w:r>
        <w:drawing>
          <wp:inline xmlns:a="http://schemas.openxmlformats.org/drawingml/2006/main" xmlns:pic="http://schemas.openxmlformats.org/drawingml/2006/picture">
            <wp:extent cx="6126480" cy="3598091"/>
            <wp:docPr id="11" name="Picture 11"/>
            <wp:cNvGraphicFramePr>
              <a:graphicFrameLocks noChangeAspect="1"/>
            </wp:cNvGraphicFramePr>
            <a:graphic>
              <a:graphicData uri="http://schemas.openxmlformats.org/drawingml/2006/picture">
                <pic:pic>
                  <pic:nvPicPr>
                    <pic:cNvPr id="0" name="scanner_architecture.png"/>
                    <pic:cNvPicPr/>
                  </pic:nvPicPr>
                  <pic:blipFill>
                    <a:blip r:embed="rId18"/>
                    <a:stretch>
                      <a:fillRect/>
                    </a:stretch>
                  </pic:blipFill>
                  <pic:spPr>
                    <a:xfrm>
                      <a:off x="0" y="0"/>
                      <a:ext cx="6126480" cy="3598091"/>
                    </a:xfrm>
                    <a:prstGeom prst="rect"/>
                  </pic:spPr>
                </pic:pic>
              </a:graphicData>
            </a:graphic>
          </wp:inline>
        </w:drawing>
      </w:r>
    </w:p>
    <w:p>
      <w:pPr>
        <w:spacing w:before="40" w:after="160" w:line="240" w:lineRule="auto"/>
        <w:jc w:val="center"/>
      </w:pPr>
      <w:r>
        <w:rPr>
          <w:rFonts w:ascii="Aptos" w:hAnsi="Aptos" w:eastAsia="Aptos"/>
          <w:b w:val="0"/>
          <w:i/>
          <w:color w:val="64748B"/>
          <w:sz w:val="19"/>
        </w:rPr>
        <w:t>Figura 10. Arquitectura del subsistema de escaneo multicanal.</w:t>
      </w:r>
    </w:p>
    <w:p>
      <w:r>
        <w:drawing>
          <wp:inline xmlns:a="http://schemas.openxmlformats.org/drawingml/2006/main" xmlns:pic="http://schemas.openxmlformats.org/drawingml/2006/picture">
            <wp:extent cx="2743200" cy="3757612"/>
            <wp:docPr id="12" name="Picture 12"/>
            <wp:cNvGraphicFramePr>
              <a:graphicFrameLocks noChangeAspect="1"/>
            </wp:cNvGraphicFramePr>
            <a:graphic>
              <a:graphicData uri="http://schemas.openxmlformats.org/drawingml/2006/picture">
                <pic:pic>
                  <pic:nvPicPr>
                    <pic:cNvPr id="0" name="scanner_detection_flow_vertical.png"/>
                    <pic:cNvPicPr/>
                  </pic:nvPicPr>
                  <pic:blipFill>
                    <a:blip r:embed="rId19"/>
                    <a:stretch>
                      <a:fillRect/>
                    </a:stretch>
                  </pic:blipFill>
                  <pic:spPr>
                    <a:xfrm>
                      <a:off x="0" y="0"/>
                      <a:ext cx="2743200" cy="3757612"/>
                    </a:xfrm>
                    <a:prstGeom prst="rect"/>
                  </pic:spPr>
                </pic:pic>
              </a:graphicData>
            </a:graphic>
          </wp:inline>
        </w:drawing>
      </w:r>
    </w:p>
    <w:p>
      <w:pPr>
        <w:spacing w:before="40" w:after="160" w:line="240" w:lineRule="auto"/>
        <w:jc w:val="center"/>
      </w:pPr>
      <w:r>
        <w:rPr>
          <w:rFonts w:ascii="Aptos" w:hAnsi="Aptos" w:eastAsia="Aptos"/>
          <w:b w:val="0"/>
          <w:i/>
          <w:color w:val="64748B"/>
          <w:sz w:val="19"/>
        </w:rPr>
        <w:t>Figura 11. Flujo de deteccion y normalizacion del lector.</w:t>
      </w:r>
    </w:p>
    <w:tbl>
      <w:tblPr>
        <w:tblW w:type="auto" w:w="0"/>
        <w:jc w:val="center"/>
        <w:tblLook w:firstColumn="1" w:firstRow="1" w:lastColumn="0" w:lastRow="0" w:noHBand="0" w:noVBand="1" w:val="04A0"/>
      </w:tblPr>
      <w:tblGrid>
        <w:gridCol w:w="10092"/>
      </w:tblGrid>
      <w:tr>
        <w:tc>
          <w:tcPr>
            <w:tcW w:type="dxa" w:w="10092"/>
            <w:shd w:fill="111827"/>
          </w:tcPr>
          <w:p>
            <w:pPr>
              <w:spacing w:before="40" w:after="40" w:line="240" w:lineRule="auto"/>
            </w:pPr>
            <w:r>
              <w:rPr>
                <w:rFonts w:ascii="Aptos" w:hAnsi="Aptos" w:eastAsia="Aptos"/>
                <w:b/>
                <w:i w:val="0"/>
                <w:color w:val="FFFFFF"/>
                <w:sz w:val="19"/>
              </w:rPr>
              <w:t>Algoritmo de auto deteccion del scanner</w:t>
            </w:r>
          </w:p>
        </w:tc>
      </w:tr>
      <w:tr>
        <w:tc>
          <w:tcPr>
            <w:tcW w:type="dxa" w:w="10092"/>
            <w:shd w:fill="F8FAFC"/>
          </w:tcPr>
          <w:p>
            <w:pPr>
              <w:spacing w:before="80" w:after="80" w:line="240" w:lineRule="auto"/>
            </w:pPr>
            <w:r>
              <w:rPr>
                <w:rFonts w:ascii="DejaVu Sans Mono" w:hAnsi="DejaVu Sans Mono" w:eastAsia="DejaVu Sans Mono"/>
                <w:b w:val="0"/>
                <w:i w:val="0"/>
                <w:color w:val="111827"/>
                <w:sz w:val="18"/>
              </w:rPr>
              <w:t>1. Verificar disponibilidad de WebHID.</w:t>
            </w:r>
            <w:r>
              <w:br/>
            </w:r>
            <w:r>
              <w:rPr>
                <w:rFonts w:ascii="DejaVu Sans Mono" w:hAnsi="DejaVu Sans Mono" w:eastAsia="DejaVu Sans Mono"/>
                <w:b w:val="0"/>
                <w:i w:val="0"/>
                <w:color w:val="111827"/>
                <w:sz w:val="18"/>
              </w:rPr>
              <w:t>2. Si no existe, probar Web Serial.</w:t>
            </w:r>
            <w:r>
              <w:br/>
            </w:r>
            <w:r>
              <w:rPr>
                <w:rFonts w:ascii="DejaVu Sans Mono" w:hAnsi="DejaVu Sans Mono" w:eastAsia="DejaVu Sans Mono"/>
                <w:b w:val="0"/>
                <w:i w:val="0"/>
                <w:color w:val="111827"/>
                <w:sz w:val="18"/>
              </w:rPr>
              <w:t>3. Si no existe, probar WebUSB.</w:t>
            </w:r>
            <w:r>
              <w:br/>
            </w:r>
            <w:r>
              <w:rPr>
                <w:rFonts w:ascii="DejaVu Sans Mono" w:hAnsi="DejaVu Sans Mono" w:eastAsia="DejaVu Sans Mono"/>
                <w:b w:val="0"/>
                <w:i w:val="0"/>
                <w:color w:val="111827"/>
                <w:sz w:val="18"/>
              </w:rPr>
              <w:t>4. Si no existe, habilitar camara / imagen.</w:t>
            </w:r>
            <w:r>
              <w:br/>
            </w:r>
            <w:r>
              <w:rPr>
                <w:rFonts w:ascii="DejaVu Sans Mono" w:hAnsi="DejaVu Sans Mono" w:eastAsia="DejaVu Sans Mono"/>
                <w:b w:val="0"/>
                <w:i w:val="0"/>
                <w:color w:val="111827"/>
                <w:sz w:val="18"/>
              </w:rPr>
              <w:t>5. Mantener fallback keyboard wedge.</w:t>
            </w:r>
            <w:r>
              <w:br/>
            </w:r>
            <w:r>
              <w:rPr>
                <w:rFonts w:ascii="DejaVu Sans Mono" w:hAnsi="DejaVu Sans Mono" w:eastAsia="DejaVu Sans Mono"/>
                <w:b w:val="0"/>
                <w:i w:val="0"/>
                <w:color w:val="111827"/>
                <w:sz w:val="18"/>
              </w:rPr>
              <w:t>6. Registrar canal, tipo, forma de uso y dispositivo detectado.</w:t>
            </w:r>
          </w:p>
        </w:tc>
      </w:tr>
    </w:tbl>
    <w:p/>
    <w:p>
      <w:pPr>
        <w:spacing w:before="200" w:after="120" w:line="264" w:lineRule="auto"/>
      </w:pPr>
      <w:r>
        <w:rPr>
          <w:rFonts w:ascii="Aptos" w:hAnsi="Aptos" w:eastAsia="Aptos"/>
          <w:b/>
          <w:i w:val="0"/>
          <w:color w:val="4C1D95"/>
          <w:sz w:val="40"/>
        </w:rPr>
        <w:t>9. Dispensacion desde solicitud manual, API clinica o formula escaneada</w:t>
      </w:r>
    </w:p>
    <w:p>
      <w:pPr>
        <w:spacing w:before="40" w:after="160" w:line="288" w:lineRule="auto"/>
      </w:pPr>
      <w:r>
        <w:rPr>
          <w:rFonts w:ascii="Aptos" w:hAnsi="Aptos" w:eastAsia="Aptos"/>
          <w:b w:val="0"/>
          <w:i w:val="0"/>
          <w:color w:val="111827"/>
          <w:sz w:val="22"/>
        </w:rPr>
        <w:t>La dispensacion puede originarse de tres fuentes: solicitud manual item por item, integracion API con historia clinica o escaneo de formula medica. En todos los casos, el registro queda vinculado a paciente, receptor, temperatura de entrega, cadena de frio, firma y trazabilidad del usuario/perfil logueado.</w:t>
      </w:r>
    </w:p>
    <w:p>
      <w:r>
        <w:drawing>
          <wp:inline xmlns:a="http://schemas.openxmlformats.org/drawingml/2006/main" xmlns:pic="http://schemas.openxmlformats.org/drawingml/2006/picture">
            <wp:extent cx="6217920" cy="3808476"/>
            <wp:docPr id="13" name="Picture 13"/>
            <wp:cNvGraphicFramePr>
              <a:graphicFrameLocks noChangeAspect="1"/>
            </wp:cNvGraphicFramePr>
            <a:graphic>
              <a:graphicData uri="http://schemas.openxmlformats.org/drawingml/2006/picture">
                <pic:pic>
                  <pic:nvPicPr>
                    <pic:cNvPr id="0" name="mock_dispensing_requests.png"/>
                    <pic:cNvPicPr/>
                  </pic:nvPicPr>
                  <pic:blipFill>
                    <a:blip r:embed="rId20"/>
                    <a:stretch>
                      <a:fillRect/>
                    </a:stretch>
                  </pic:blipFill>
                  <pic:spPr>
                    <a:xfrm>
                      <a:off x="0" y="0"/>
                      <a:ext cx="6217920" cy="3808476"/>
                    </a:xfrm>
                    <a:prstGeom prst="rect"/>
                  </pic:spPr>
                </pic:pic>
              </a:graphicData>
            </a:graphic>
          </wp:inline>
        </w:drawing>
      </w:r>
    </w:p>
    <w:p>
      <w:pPr>
        <w:spacing w:before="40" w:after="160" w:line="240" w:lineRule="auto"/>
        <w:jc w:val="center"/>
      </w:pPr>
      <w:r>
        <w:rPr>
          <w:rFonts w:ascii="Aptos" w:hAnsi="Aptos" w:eastAsia="Aptos"/>
          <w:b w:val="0"/>
          <w:i/>
          <w:color w:val="64748B"/>
          <w:sz w:val="19"/>
        </w:rPr>
        <w:t>Figura 12. Solicitudes de dispensacion y captura de origen documental.</w:t>
      </w:r>
    </w:p>
    <w:p>
      <w:r>
        <w:drawing>
          <wp:inline xmlns:a="http://schemas.openxmlformats.org/drawingml/2006/main" xmlns:pic="http://schemas.openxmlformats.org/drawingml/2006/picture">
            <wp:extent cx="2834640" cy="5322747"/>
            <wp:docPr id="14" name="Picture 14"/>
            <wp:cNvGraphicFramePr>
              <a:graphicFrameLocks noChangeAspect="1"/>
            </wp:cNvGraphicFramePr>
            <a:graphic>
              <a:graphicData uri="http://schemas.openxmlformats.org/drawingml/2006/picture">
                <pic:pic>
                  <pic:nvPicPr>
                    <pic:cNvPr id="0" name="dispensing_flow_vertical.png"/>
                    <pic:cNvPicPr/>
                  </pic:nvPicPr>
                  <pic:blipFill>
                    <a:blip r:embed="rId21"/>
                    <a:stretch>
                      <a:fillRect/>
                    </a:stretch>
                  </pic:blipFill>
                  <pic:spPr>
                    <a:xfrm>
                      <a:off x="0" y="0"/>
                      <a:ext cx="2834640" cy="5322747"/>
                    </a:xfrm>
                    <a:prstGeom prst="rect"/>
                  </pic:spPr>
                </pic:pic>
              </a:graphicData>
            </a:graphic>
          </wp:inline>
        </w:drawing>
      </w:r>
    </w:p>
    <w:p>
      <w:pPr>
        <w:spacing w:before="40" w:after="160" w:line="240" w:lineRule="auto"/>
        <w:jc w:val="center"/>
      </w:pPr>
      <w:r>
        <w:rPr>
          <w:rFonts w:ascii="Aptos" w:hAnsi="Aptos" w:eastAsia="Aptos"/>
          <w:b w:val="0"/>
          <w:i/>
          <w:color w:val="64748B"/>
          <w:sz w:val="19"/>
        </w:rPr>
        <w:t>Figura 13. Flujo de validacion y cierre de dispensacion.</w:t>
      </w:r>
    </w:p>
    <w:tbl>
      <w:tblPr>
        <w:tblStyle w:val="TableGrid"/>
        <w:tblW w:type="auto" w:w="0"/>
        <w:jc w:val="center"/>
        <w:tblLook w:firstColumn="1" w:firstRow="1" w:lastColumn="0" w:lastRow="0" w:noHBand="0" w:noVBand="1" w:val="04A0"/>
      </w:tblPr>
      <w:tblGrid>
        <w:gridCol w:w="3364"/>
        <w:gridCol w:w="3364"/>
        <w:gridCol w:w="3364"/>
      </w:tblGrid>
      <w:tr>
        <w:tc>
          <w:tcPr>
            <w:tcW w:type="dxa" w:w="1701"/>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Origen</w:t>
            </w:r>
          </w:p>
        </w:tc>
        <w:tc>
          <w:tcPr>
            <w:tcW w:type="dxa" w:w="3855"/>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Entrada</w:t>
            </w:r>
          </w:p>
        </w:tc>
        <w:tc>
          <w:tcPr>
            <w:tcW w:type="dxa" w:w="3628"/>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Resultado</w:t>
            </w:r>
          </w:p>
        </w:tc>
      </w:tr>
      <w:tr>
        <w:tc>
          <w:tcPr>
            <w:tcW w:type="dxa" w:w="1701"/>
            <w:vAlign w:val="center"/>
          </w:tcPr>
          <w:p>
            <w:pPr>
              <w:spacing w:before="20" w:after="20" w:line="264" w:lineRule="auto"/>
            </w:pPr>
            <w:r>
              <w:rPr>
                <w:rFonts w:ascii="Aptos" w:hAnsi="Aptos" w:eastAsia="Aptos"/>
                <w:b w:val="0"/>
                <w:i w:val="0"/>
                <w:color w:val="111827"/>
                <w:sz w:val="19"/>
              </w:rPr>
              <w:t>Manual</w:t>
            </w:r>
          </w:p>
        </w:tc>
        <w:tc>
          <w:tcPr>
            <w:tcW w:type="dxa" w:w="3855"/>
            <w:vAlign w:val="center"/>
          </w:tcPr>
          <w:p>
            <w:pPr>
              <w:spacing w:before="20" w:after="20" w:line="264" w:lineRule="auto"/>
            </w:pPr>
            <w:r>
              <w:rPr>
                <w:rFonts w:ascii="Aptos" w:hAnsi="Aptos" w:eastAsia="Aptos"/>
                <w:b w:val="0"/>
                <w:i w:val="0"/>
                <w:color w:val="111827"/>
                <w:sz w:val="19"/>
              </w:rPr>
              <w:t>Items digitados por operador</w:t>
            </w:r>
          </w:p>
        </w:tc>
        <w:tc>
          <w:tcPr>
            <w:tcW w:type="dxa" w:w="3628"/>
            <w:vAlign w:val="center"/>
          </w:tcPr>
          <w:p>
            <w:pPr>
              <w:spacing w:before="20" w:after="20" w:line="264" w:lineRule="auto"/>
            </w:pPr>
            <w:r>
              <w:rPr>
                <w:rFonts w:ascii="Aptos" w:hAnsi="Aptos" w:eastAsia="Aptos"/>
                <w:b w:val="0"/>
                <w:i w:val="0"/>
                <w:color w:val="111827"/>
                <w:sz w:val="19"/>
              </w:rPr>
              <w:t>Solicitud editable y validable</w:t>
            </w:r>
          </w:p>
        </w:tc>
      </w:tr>
      <w:tr>
        <w:tc>
          <w:tcPr>
            <w:tcW w:type="dxa" w:w="1701"/>
            <w:vAlign w:val="center"/>
          </w:tcPr>
          <w:p>
            <w:pPr>
              <w:spacing w:before="20" w:after="20" w:line="264" w:lineRule="auto"/>
            </w:pPr>
            <w:r>
              <w:rPr>
                <w:rFonts w:ascii="Aptos" w:hAnsi="Aptos" w:eastAsia="Aptos"/>
                <w:b w:val="0"/>
                <w:i w:val="0"/>
                <w:color w:val="111827"/>
                <w:sz w:val="19"/>
              </w:rPr>
              <w:t>API HCE</w:t>
            </w:r>
          </w:p>
        </w:tc>
        <w:tc>
          <w:tcPr>
            <w:tcW w:type="dxa" w:w="3855"/>
            <w:vAlign w:val="center"/>
          </w:tcPr>
          <w:p>
            <w:pPr>
              <w:spacing w:before="20" w:after="20" w:line="264" w:lineRule="auto"/>
            </w:pPr>
            <w:r>
              <w:rPr>
                <w:rFonts w:ascii="Aptos" w:hAnsi="Aptos" w:eastAsia="Aptos"/>
                <w:b w:val="0"/>
                <w:i w:val="0"/>
                <w:color w:val="111827"/>
                <w:sz w:val="19"/>
              </w:rPr>
              <w:t>Payload clinico importado por integracion</w:t>
            </w:r>
          </w:p>
        </w:tc>
        <w:tc>
          <w:tcPr>
            <w:tcW w:type="dxa" w:w="3628"/>
            <w:vAlign w:val="center"/>
          </w:tcPr>
          <w:p>
            <w:pPr>
              <w:spacing w:before="20" w:after="20" w:line="264" w:lineRule="auto"/>
            </w:pPr>
            <w:r>
              <w:rPr>
                <w:rFonts w:ascii="Aptos" w:hAnsi="Aptos" w:eastAsia="Aptos"/>
                <w:b w:val="0"/>
                <w:i w:val="0"/>
                <w:color w:val="111827"/>
                <w:sz w:val="19"/>
              </w:rPr>
              <w:t>Solicitud prellenada con referencia externa</w:t>
            </w:r>
          </w:p>
        </w:tc>
      </w:tr>
      <w:tr>
        <w:tc>
          <w:tcPr>
            <w:tcW w:type="dxa" w:w="1701"/>
            <w:vAlign w:val="center"/>
          </w:tcPr>
          <w:p>
            <w:pPr>
              <w:spacing w:before="20" w:after="20" w:line="264" w:lineRule="auto"/>
            </w:pPr>
            <w:r>
              <w:rPr>
                <w:rFonts w:ascii="Aptos" w:hAnsi="Aptos" w:eastAsia="Aptos"/>
                <w:b w:val="0"/>
                <w:i w:val="0"/>
                <w:color w:val="111827"/>
                <w:sz w:val="19"/>
              </w:rPr>
              <w:t>Formula escaneada</w:t>
            </w:r>
          </w:p>
        </w:tc>
        <w:tc>
          <w:tcPr>
            <w:tcW w:type="dxa" w:w="3855"/>
            <w:vAlign w:val="center"/>
          </w:tcPr>
          <w:p>
            <w:pPr>
              <w:spacing w:before="20" w:after="20" w:line="264" w:lineRule="auto"/>
            </w:pPr>
            <w:r>
              <w:rPr>
                <w:rFonts w:ascii="Aptos" w:hAnsi="Aptos" w:eastAsia="Aptos"/>
                <w:b w:val="0"/>
                <w:i w:val="0"/>
                <w:color w:val="111827"/>
                <w:sz w:val="19"/>
              </w:rPr>
              <w:t>Documento o imagen</w:t>
            </w:r>
          </w:p>
        </w:tc>
        <w:tc>
          <w:tcPr>
            <w:tcW w:type="dxa" w:w="3628"/>
            <w:vAlign w:val="center"/>
          </w:tcPr>
          <w:p>
            <w:pPr>
              <w:spacing w:before="20" w:after="20" w:line="264" w:lineRule="auto"/>
            </w:pPr>
            <w:r>
              <w:rPr>
                <w:rFonts w:ascii="Aptos" w:hAnsi="Aptos" w:eastAsia="Aptos"/>
                <w:b w:val="0"/>
                <w:i w:val="0"/>
                <w:color w:val="111827"/>
                <w:sz w:val="19"/>
              </w:rPr>
              <w:t>Solicitud con evidencia documental adjunta</w:t>
            </w:r>
          </w:p>
        </w:tc>
      </w:tr>
    </w:tbl>
    <w:p/>
    <w:p>
      <w:pPr>
        <w:spacing w:before="200" w:after="120" w:line="264" w:lineRule="auto"/>
      </w:pPr>
      <w:r>
        <w:rPr>
          <w:rFonts w:ascii="Aptos" w:hAnsi="Aptos" w:eastAsia="Aptos"/>
          <w:b/>
          <w:i w:val="0"/>
          <w:color w:val="4C1D95"/>
          <w:sz w:val="40"/>
        </w:rPr>
        <w:t>10. Trazabilidad de procesos terminados y firma avanzada</w:t>
      </w:r>
    </w:p>
    <w:p>
      <w:pPr>
        <w:spacing w:before="40" w:after="160" w:line="288" w:lineRule="auto"/>
      </w:pPr>
      <w:r>
        <w:rPr>
          <w:rFonts w:ascii="Aptos" w:hAnsi="Aptos" w:eastAsia="Aptos"/>
          <w:b w:val="0"/>
          <w:i w:val="0"/>
          <w:color w:val="111827"/>
          <w:sz w:val="22"/>
        </w:rPr>
        <w:t>Cada proceso terminado deja una marca auditable con fecha/hora, sede, usuario, perfil, tipo de proceso, referencia y estado. Para cierres criticos, la plataforma puede aplicar firma avanzada y correlacion de request_id.</w:t>
      </w:r>
    </w:p>
    <w:p>
      <w:r>
        <w:drawing>
          <wp:inline xmlns:a="http://schemas.openxmlformats.org/drawingml/2006/main" xmlns:pic="http://schemas.openxmlformats.org/drawingml/2006/picture">
            <wp:extent cx="6035040" cy="8046720"/>
            <wp:docPr id="15" name="Picture 15"/>
            <wp:cNvGraphicFramePr>
              <a:graphicFrameLocks noChangeAspect="1"/>
            </wp:cNvGraphicFramePr>
            <a:graphic>
              <a:graphicData uri="http://schemas.openxmlformats.org/drawingml/2006/picture">
                <pic:pic>
                  <pic:nvPicPr>
                    <pic:cNvPr id="0" name="traceability_flow.png"/>
                    <pic:cNvPicPr/>
                  </pic:nvPicPr>
                  <pic:blipFill>
                    <a:blip r:embed="rId22"/>
                    <a:stretch>
                      <a:fillRect/>
                    </a:stretch>
                  </pic:blipFill>
                  <pic:spPr>
                    <a:xfrm>
                      <a:off x="0" y="0"/>
                      <a:ext cx="6035040" cy="8046720"/>
                    </a:xfrm>
                    <a:prstGeom prst="rect"/>
                  </pic:spPr>
                </pic:pic>
              </a:graphicData>
            </a:graphic>
          </wp:inline>
        </w:drawing>
      </w:r>
    </w:p>
    <w:p>
      <w:pPr>
        <w:spacing w:before="40" w:after="160" w:line="240" w:lineRule="auto"/>
        <w:jc w:val="center"/>
      </w:pPr>
      <w:r>
        <w:rPr>
          <w:rFonts w:ascii="Aptos" w:hAnsi="Aptos" w:eastAsia="Aptos"/>
          <w:b w:val="0"/>
          <w:i/>
          <w:color w:val="64748B"/>
          <w:sz w:val="19"/>
        </w:rPr>
        <w:t>Figura 14. Modelo de trazabilidad de procesos terminados.</w:t>
      </w:r>
    </w:p>
    <w:p>
      <w:r>
        <w:drawing>
          <wp:inline xmlns:a="http://schemas.openxmlformats.org/drawingml/2006/main" xmlns:pic="http://schemas.openxmlformats.org/drawingml/2006/picture">
            <wp:extent cx="6035040" cy="2468880"/>
            <wp:docPr id="16" name="Picture 16"/>
            <wp:cNvGraphicFramePr>
              <a:graphicFrameLocks noChangeAspect="1"/>
            </wp:cNvGraphicFramePr>
            <a:graphic>
              <a:graphicData uri="http://schemas.openxmlformats.org/drawingml/2006/picture">
                <pic:pic>
                  <pic:nvPicPr>
                    <pic:cNvPr id="0" name="advanced_signature_flow.png"/>
                    <pic:cNvPicPr/>
                  </pic:nvPicPr>
                  <pic:blipFill>
                    <a:blip r:embed="rId23"/>
                    <a:stretch>
                      <a:fillRect/>
                    </a:stretch>
                  </pic:blipFill>
                  <pic:spPr>
                    <a:xfrm>
                      <a:off x="0" y="0"/>
                      <a:ext cx="6035040" cy="2468880"/>
                    </a:xfrm>
                    <a:prstGeom prst="rect"/>
                  </pic:spPr>
                </pic:pic>
              </a:graphicData>
            </a:graphic>
          </wp:inline>
        </w:drawing>
      </w:r>
    </w:p>
    <w:p>
      <w:pPr>
        <w:spacing w:before="40" w:after="160" w:line="240" w:lineRule="auto"/>
        <w:jc w:val="center"/>
      </w:pPr>
      <w:r>
        <w:rPr>
          <w:rFonts w:ascii="Aptos" w:hAnsi="Aptos" w:eastAsia="Aptos"/>
          <w:b w:val="0"/>
          <w:i/>
          <w:color w:val="64748B"/>
          <w:sz w:val="19"/>
        </w:rPr>
        <w:t>Figura 15. Flujo de firma avanzada sobre procesos criticos.</w:t>
      </w:r>
    </w:p>
    <w:tbl>
      <w:tblPr>
        <w:tblStyle w:val="TableGrid"/>
        <w:tblW w:type="auto" w:w="0"/>
        <w:jc w:val="center"/>
        <w:tblLook w:firstColumn="1" w:firstRow="1" w:lastColumn="0" w:lastRow="0" w:noHBand="0" w:noVBand="1" w:val="04A0"/>
      </w:tblPr>
      <w:tblGrid>
        <w:gridCol w:w="5046"/>
        <w:gridCol w:w="5046"/>
      </w:tblGrid>
      <w:tr>
        <w:tc>
          <w:tcPr>
            <w:tcW w:type="dxa" w:w="3118"/>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Proceso terminado</w:t>
            </w:r>
          </w:p>
        </w:tc>
        <w:tc>
          <w:tcPr>
            <w:tcW w:type="dxa" w:w="6066"/>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Campos minimos de traza</w:t>
            </w:r>
          </w:p>
        </w:tc>
      </w:tr>
      <w:tr>
        <w:tc>
          <w:tcPr>
            <w:tcW w:type="dxa" w:w="3118"/>
            <w:vAlign w:val="center"/>
          </w:tcPr>
          <w:p>
            <w:pPr>
              <w:spacing w:before="20" w:after="20" w:line="264" w:lineRule="auto"/>
            </w:pPr>
            <w:r>
              <w:rPr>
                <w:rFonts w:ascii="Aptos" w:hAnsi="Aptos" w:eastAsia="Aptos"/>
                <w:b w:val="0"/>
                <w:i w:val="0"/>
                <w:color w:val="111827"/>
                <w:sz w:val="19"/>
              </w:rPr>
              <w:t>Ingreso de inventario</w:t>
            </w:r>
          </w:p>
        </w:tc>
        <w:tc>
          <w:tcPr>
            <w:tcW w:type="dxa" w:w="6066"/>
            <w:vAlign w:val="center"/>
          </w:tcPr>
          <w:p>
            <w:pPr>
              <w:spacing w:before="20" w:after="20" w:line="264" w:lineRule="auto"/>
            </w:pPr>
            <w:r>
              <w:rPr>
                <w:rFonts w:ascii="Aptos" w:hAnsi="Aptos" w:eastAsia="Aptos"/>
                <w:b w:val="0"/>
                <w:i w:val="0"/>
                <w:color w:val="111827"/>
                <w:sz w:val="19"/>
              </w:rPr>
              <w:t>usuario, perfil, sede, lote, cantidad, fecha/hora</w:t>
            </w:r>
          </w:p>
        </w:tc>
      </w:tr>
      <w:tr>
        <w:tc>
          <w:tcPr>
            <w:tcW w:type="dxa" w:w="3118"/>
            <w:vAlign w:val="center"/>
          </w:tcPr>
          <w:p>
            <w:pPr>
              <w:spacing w:before="20" w:after="20" w:line="264" w:lineRule="auto"/>
            </w:pPr>
            <w:r>
              <w:rPr>
                <w:rFonts w:ascii="Aptos" w:hAnsi="Aptos" w:eastAsia="Aptos"/>
                <w:b w:val="0"/>
                <w:i w:val="0"/>
                <w:color w:val="111827"/>
                <w:sz w:val="19"/>
              </w:rPr>
              <w:t>Dispensacion</w:t>
            </w:r>
          </w:p>
        </w:tc>
        <w:tc>
          <w:tcPr>
            <w:tcW w:type="dxa" w:w="6066"/>
            <w:vAlign w:val="center"/>
          </w:tcPr>
          <w:p>
            <w:pPr>
              <w:spacing w:before="20" w:after="20" w:line="264" w:lineRule="auto"/>
            </w:pPr>
            <w:r>
              <w:rPr>
                <w:rFonts w:ascii="Aptos" w:hAnsi="Aptos" w:eastAsia="Aptos"/>
                <w:b w:val="0"/>
                <w:i w:val="0"/>
                <w:color w:val="111827"/>
                <w:sz w:val="19"/>
              </w:rPr>
              <w:t>usuario, perfil, sede, paciente, receptor, item, firma</w:t>
            </w:r>
          </w:p>
        </w:tc>
      </w:tr>
      <w:tr>
        <w:tc>
          <w:tcPr>
            <w:tcW w:type="dxa" w:w="3118"/>
            <w:vAlign w:val="center"/>
          </w:tcPr>
          <w:p>
            <w:pPr>
              <w:spacing w:before="20" w:after="20" w:line="264" w:lineRule="auto"/>
            </w:pPr>
            <w:r>
              <w:rPr>
                <w:rFonts w:ascii="Aptos" w:hAnsi="Aptos" w:eastAsia="Aptos"/>
                <w:b w:val="0"/>
                <w:i w:val="0"/>
                <w:color w:val="111827"/>
                <w:sz w:val="19"/>
              </w:rPr>
              <w:t>Solicitud a central</w:t>
            </w:r>
          </w:p>
        </w:tc>
        <w:tc>
          <w:tcPr>
            <w:tcW w:type="dxa" w:w="6066"/>
            <w:vAlign w:val="center"/>
          </w:tcPr>
          <w:p>
            <w:pPr>
              <w:spacing w:before="20" w:after="20" w:line="264" w:lineRule="auto"/>
            </w:pPr>
            <w:r>
              <w:rPr>
                <w:rFonts w:ascii="Aptos" w:hAnsi="Aptos" w:eastAsia="Aptos"/>
                <w:b w:val="0"/>
                <w:i w:val="0"/>
                <w:color w:val="111827"/>
                <w:sz w:val="19"/>
              </w:rPr>
              <w:t>usuario, perfil, sede origen, consecutivo, estado</w:t>
            </w:r>
          </w:p>
        </w:tc>
      </w:tr>
      <w:tr>
        <w:tc>
          <w:tcPr>
            <w:tcW w:type="dxa" w:w="3118"/>
            <w:vAlign w:val="center"/>
          </w:tcPr>
          <w:p>
            <w:pPr>
              <w:spacing w:before="20" w:after="20" w:line="264" w:lineRule="auto"/>
            </w:pPr>
            <w:r>
              <w:rPr>
                <w:rFonts w:ascii="Aptos" w:hAnsi="Aptos" w:eastAsia="Aptos"/>
                <w:b w:val="0"/>
                <w:i w:val="0"/>
                <w:color w:val="111827"/>
                <w:sz w:val="19"/>
              </w:rPr>
              <w:t>Compra central</w:t>
            </w:r>
          </w:p>
        </w:tc>
        <w:tc>
          <w:tcPr>
            <w:tcW w:type="dxa" w:w="6066"/>
            <w:vAlign w:val="center"/>
          </w:tcPr>
          <w:p>
            <w:pPr>
              <w:spacing w:before="20" w:after="20" w:line="264" w:lineRule="auto"/>
            </w:pPr>
            <w:r>
              <w:rPr>
                <w:rFonts w:ascii="Aptos" w:hAnsi="Aptos" w:eastAsia="Aptos"/>
                <w:b w:val="0"/>
                <w:i w:val="0"/>
                <w:color w:val="111827"/>
                <w:sz w:val="19"/>
              </w:rPr>
              <w:t>usuario, perfil, sede central, proveedor, orden, estado</w:t>
            </w:r>
          </w:p>
        </w:tc>
      </w:tr>
    </w:tbl>
    <w:p/>
    <w:p>
      <w:pPr>
        <w:spacing w:before="200" w:after="120" w:line="264" w:lineRule="auto"/>
      </w:pPr>
      <w:r>
        <w:rPr>
          <w:rFonts w:ascii="Aptos" w:hAnsi="Aptos" w:eastAsia="Aptos"/>
          <w:b/>
          <w:i w:val="0"/>
          <w:color w:val="4C1D95"/>
          <w:sz w:val="40"/>
        </w:rPr>
        <w:t>11. Instalacion y despliegue: macOS, Windows y AWS</w:t>
      </w:r>
    </w:p>
    <w:p>
      <w:pPr>
        <w:spacing w:before="40" w:after="160" w:line="288" w:lineRule="auto"/>
      </w:pPr>
      <w:r>
        <w:rPr>
          <w:rFonts w:ascii="Aptos" w:hAnsi="Aptos" w:eastAsia="Aptos"/>
          <w:b w:val="0"/>
          <w:i w:val="0"/>
          <w:color w:val="111827"/>
          <w:sz w:val="22"/>
        </w:rPr>
        <w:t>Los bundles incluidos permiten levantar el stack en Docker para macOS y Windows, y usar la base de despliegue para AWS. En produccion se recomienda HTTPS, backups automáticos y monitoreo con Prometheus/Grafana.</w:t>
      </w:r>
    </w:p>
    <w:p>
      <w:r>
        <w:drawing>
          <wp:inline xmlns:a="http://schemas.openxmlformats.org/drawingml/2006/main" xmlns:pic="http://schemas.openxmlformats.org/drawingml/2006/picture">
            <wp:extent cx="6263640" cy="3549396"/>
            <wp:docPr id="17" name="Picture 17"/>
            <wp:cNvGraphicFramePr>
              <a:graphicFrameLocks noChangeAspect="1"/>
            </wp:cNvGraphicFramePr>
            <a:graphic>
              <a:graphicData uri="http://schemas.openxmlformats.org/drawingml/2006/picture">
                <pic:pic>
                  <pic:nvPicPr>
                    <pic:cNvPr id="0" name="production_topology_v19.png"/>
                    <pic:cNvPicPr/>
                  </pic:nvPicPr>
                  <pic:blipFill>
                    <a:blip r:embed="rId24"/>
                    <a:stretch>
                      <a:fillRect/>
                    </a:stretch>
                  </pic:blipFill>
                  <pic:spPr>
                    <a:xfrm>
                      <a:off x="0" y="0"/>
                      <a:ext cx="6263640" cy="3549396"/>
                    </a:xfrm>
                    <a:prstGeom prst="rect"/>
                  </pic:spPr>
                </pic:pic>
              </a:graphicData>
            </a:graphic>
          </wp:inline>
        </w:drawing>
      </w:r>
    </w:p>
    <w:p>
      <w:pPr>
        <w:spacing w:before="40" w:after="160" w:line="240" w:lineRule="auto"/>
        <w:jc w:val="center"/>
      </w:pPr>
      <w:r>
        <w:rPr>
          <w:rFonts w:ascii="Aptos" w:hAnsi="Aptos" w:eastAsia="Aptos"/>
          <w:b w:val="0"/>
          <w:i/>
          <w:color w:val="64748B"/>
          <w:sz w:val="19"/>
        </w:rPr>
        <w:t>Figura 16. Topologia de produccion con proxy seguro, backend, base de datos y monitoreo.</w:t>
      </w:r>
    </w:p>
    <w:p>
      <w:r>
        <w:drawing>
          <wp:inline xmlns:a="http://schemas.openxmlformats.org/drawingml/2006/main" xmlns:pic="http://schemas.openxmlformats.org/drawingml/2006/picture">
            <wp:extent cx="6035040" cy="3394710"/>
            <wp:docPr id="18" name="Picture 18"/>
            <wp:cNvGraphicFramePr>
              <a:graphicFrameLocks noChangeAspect="1"/>
            </wp:cNvGraphicFramePr>
            <a:graphic>
              <a:graphicData uri="http://schemas.openxmlformats.org/drawingml/2006/picture">
                <pic:pic>
                  <pic:nvPicPr>
                    <pic:cNvPr id="0" name="backup_lifecycle.png"/>
                    <pic:cNvPicPr/>
                  </pic:nvPicPr>
                  <pic:blipFill>
                    <a:blip r:embed="rId25"/>
                    <a:stretch>
                      <a:fillRect/>
                    </a:stretch>
                  </pic:blipFill>
                  <pic:spPr>
                    <a:xfrm>
                      <a:off x="0" y="0"/>
                      <a:ext cx="6035040" cy="3394710"/>
                    </a:xfrm>
                    <a:prstGeom prst="rect"/>
                  </pic:spPr>
                </pic:pic>
              </a:graphicData>
            </a:graphic>
          </wp:inline>
        </w:drawing>
      </w:r>
    </w:p>
    <w:p>
      <w:pPr>
        <w:spacing w:before="40" w:after="160" w:line="240" w:lineRule="auto"/>
        <w:jc w:val="center"/>
      </w:pPr>
      <w:r>
        <w:rPr>
          <w:rFonts w:ascii="Aptos" w:hAnsi="Aptos" w:eastAsia="Aptos"/>
          <w:b w:val="0"/>
          <w:i/>
          <w:color w:val="64748B"/>
          <w:sz w:val="19"/>
        </w:rPr>
        <w:t>Figura 17. Ciclo de respaldo de base de datos y uploads.</w:t>
      </w:r>
    </w:p>
    <w:tbl>
      <w:tblPr>
        <w:tblStyle w:val="TableGrid"/>
        <w:tblW w:type="auto" w:w="0"/>
        <w:jc w:val="center"/>
        <w:tblLook w:firstColumn="1" w:firstRow="1" w:lastColumn="0" w:lastRow="0" w:noHBand="0" w:noVBand="1" w:val="04A0"/>
      </w:tblPr>
      <w:tblGrid>
        <w:gridCol w:w="3364"/>
        <w:gridCol w:w="3364"/>
        <w:gridCol w:w="3364"/>
      </w:tblGrid>
      <w:tr>
        <w:tc>
          <w:tcPr>
            <w:tcW w:type="dxa" w:w="1701"/>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Plataforma</w:t>
            </w:r>
          </w:p>
        </w:tc>
        <w:tc>
          <w:tcPr>
            <w:tcW w:type="dxa" w:w="3855"/>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Script principal</w:t>
            </w:r>
          </w:p>
        </w:tc>
        <w:tc>
          <w:tcPr>
            <w:tcW w:type="dxa" w:w="3628"/>
            <w:shd w:fill="F5F3FF"/>
            <w:tcBorders>
              <w:left w:val="single" w:sz="8" w:color="DDD6FE"/>
              <w:top w:val="single" w:sz="8" w:color="DDD6FE"/>
              <w:right w:val="single" w:sz="8" w:color="DDD6FE"/>
              <w:bottom w:val="single" w:sz="8" w:color="DDD6FE"/>
            </w:tcBorders>
            <w:vAlign w:val="center"/>
          </w:tcPr>
          <w:p>
            <w:pPr>
              <w:spacing w:before="20" w:after="20" w:line="240" w:lineRule="auto"/>
              <w:jc w:val="center"/>
            </w:pPr>
            <w:r>
              <w:rPr>
                <w:rFonts w:ascii="Aptos" w:hAnsi="Aptos" w:eastAsia="Aptos"/>
                <w:b/>
                <w:i w:val="0"/>
                <w:color w:val="4C1D95"/>
                <w:sz w:val="20"/>
              </w:rPr>
              <w:t>Uso</w:t>
            </w:r>
          </w:p>
        </w:tc>
      </w:tr>
      <w:tr>
        <w:tc>
          <w:tcPr>
            <w:tcW w:type="dxa" w:w="1701"/>
            <w:vAlign w:val="center"/>
          </w:tcPr>
          <w:p>
            <w:pPr>
              <w:spacing w:before="20" w:after="20" w:line="264" w:lineRule="auto"/>
            </w:pPr>
            <w:r>
              <w:rPr>
                <w:rFonts w:ascii="Aptos" w:hAnsi="Aptos" w:eastAsia="Aptos"/>
                <w:b w:val="0"/>
                <w:i w:val="0"/>
                <w:color w:val="111827"/>
                <w:sz w:val="19"/>
              </w:rPr>
              <w:t>macOS</w:t>
            </w:r>
          </w:p>
        </w:tc>
        <w:tc>
          <w:tcPr>
            <w:tcW w:type="dxa" w:w="3855"/>
            <w:vAlign w:val="center"/>
          </w:tcPr>
          <w:p>
            <w:pPr>
              <w:spacing w:before="20" w:after="20" w:line="264" w:lineRule="auto"/>
            </w:pPr>
            <w:r>
              <w:rPr>
                <w:rFonts w:ascii="Aptos" w:hAnsi="Aptos" w:eastAsia="Aptos"/>
                <w:b w:val="0"/>
                <w:i w:val="0"/>
                <w:color w:val="111827"/>
                <w:sz w:val="19"/>
              </w:rPr>
              <w:t>AkriPharmacy_macOS_production.command</w:t>
            </w:r>
          </w:p>
        </w:tc>
        <w:tc>
          <w:tcPr>
            <w:tcW w:type="dxa" w:w="3628"/>
            <w:vAlign w:val="center"/>
          </w:tcPr>
          <w:p>
            <w:pPr>
              <w:spacing w:before="20" w:after="20" w:line="264" w:lineRule="auto"/>
            </w:pPr>
            <w:r>
              <w:rPr>
                <w:rFonts w:ascii="Aptos" w:hAnsi="Aptos" w:eastAsia="Aptos"/>
                <w:b w:val="0"/>
                <w:i w:val="0"/>
                <w:color w:val="111827"/>
                <w:sz w:val="19"/>
              </w:rPr>
              <w:t>Arranque del entorno de produccion o bundle local</w:t>
            </w:r>
          </w:p>
        </w:tc>
      </w:tr>
      <w:tr>
        <w:tc>
          <w:tcPr>
            <w:tcW w:type="dxa" w:w="1701"/>
            <w:vAlign w:val="center"/>
          </w:tcPr>
          <w:p>
            <w:pPr>
              <w:spacing w:before="20" w:after="20" w:line="264" w:lineRule="auto"/>
            </w:pPr>
            <w:r>
              <w:rPr>
                <w:rFonts w:ascii="Aptos" w:hAnsi="Aptos" w:eastAsia="Aptos"/>
                <w:b w:val="0"/>
                <w:i w:val="0"/>
                <w:color w:val="111827"/>
                <w:sz w:val="19"/>
              </w:rPr>
              <w:t>Windows</w:t>
            </w:r>
          </w:p>
        </w:tc>
        <w:tc>
          <w:tcPr>
            <w:tcW w:type="dxa" w:w="3855"/>
            <w:vAlign w:val="center"/>
          </w:tcPr>
          <w:p>
            <w:pPr>
              <w:spacing w:before="20" w:after="20" w:line="264" w:lineRule="auto"/>
            </w:pPr>
            <w:r>
              <w:rPr>
                <w:rFonts w:ascii="Aptos" w:hAnsi="Aptos" w:eastAsia="Aptos"/>
                <w:b w:val="0"/>
                <w:i w:val="0"/>
                <w:color w:val="111827"/>
                <w:sz w:val="19"/>
              </w:rPr>
              <w:t>AkriPharmacy_windows_production.ps1</w:t>
            </w:r>
          </w:p>
        </w:tc>
        <w:tc>
          <w:tcPr>
            <w:tcW w:type="dxa" w:w="3628"/>
            <w:vAlign w:val="center"/>
          </w:tcPr>
          <w:p>
            <w:pPr>
              <w:spacing w:before="20" w:after="20" w:line="264" w:lineRule="auto"/>
            </w:pPr>
            <w:r>
              <w:rPr>
                <w:rFonts w:ascii="Aptos" w:hAnsi="Aptos" w:eastAsia="Aptos"/>
                <w:b w:val="0"/>
                <w:i w:val="0"/>
                <w:color w:val="111827"/>
                <w:sz w:val="19"/>
              </w:rPr>
              <w:t>Bootstrap en PowerShell con Docker Desktop</w:t>
            </w:r>
          </w:p>
        </w:tc>
      </w:tr>
      <w:tr>
        <w:tc>
          <w:tcPr>
            <w:tcW w:type="dxa" w:w="1701"/>
            <w:vAlign w:val="center"/>
          </w:tcPr>
          <w:p>
            <w:pPr>
              <w:spacing w:before="20" w:after="20" w:line="264" w:lineRule="auto"/>
            </w:pPr>
            <w:r>
              <w:rPr>
                <w:rFonts w:ascii="Aptos" w:hAnsi="Aptos" w:eastAsia="Aptos"/>
                <w:b w:val="0"/>
                <w:i w:val="0"/>
                <w:color w:val="111827"/>
                <w:sz w:val="19"/>
              </w:rPr>
              <w:t>AWS</w:t>
            </w:r>
          </w:p>
        </w:tc>
        <w:tc>
          <w:tcPr>
            <w:tcW w:type="dxa" w:w="3855"/>
            <w:vAlign w:val="center"/>
          </w:tcPr>
          <w:p>
            <w:pPr>
              <w:spacing w:before="20" w:after="20" w:line="264" w:lineRule="auto"/>
            </w:pPr>
            <w:r>
              <w:rPr>
                <w:rFonts w:ascii="Aptos" w:hAnsi="Aptos" w:eastAsia="Aptos"/>
                <w:b w:val="0"/>
                <w:i w:val="0"/>
                <w:color w:val="111827"/>
                <w:sz w:val="19"/>
              </w:rPr>
              <w:t>AkriPharmacy_aws_production.sh</w:t>
            </w:r>
          </w:p>
        </w:tc>
        <w:tc>
          <w:tcPr>
            <w:tcW w:type="dxa" w:w="3628"/>
            <w:vAlign w:val="center"/>
          </w:tcPr>
          <w:p>
            <w:pPr>
              <w:spacing w:before="20" w:after="20" w:line="264" w:lineRule="auto"/>
            </w:pPr>
            <w:r>
              <w:rPr>
                <w:rFonts w:ascii="Aptos" w:hAnsi="Aptos" w:eastAsia="Aptos"/>
                <w:b w:val="0"/>
                <w:i w:val="0"/>
                <w:color w:val="111827"/>
                <w:sz w:val="19"/>
              </w:rPr>
              <w:t>Guia de despliegue sobre ECS/Fargate/RDS/EFS</w:t>
            </w:r>
          </w:p>
        </w:tc>
      </w:tr>
    </w:tbl>
    <w:p/>
    <w:p>
      <w:pPr>
        <w:spacing w:before="200" w:after="120" w:line="264" w:lineRule="auto"/>
      </w:pPr>
      <w:r>
        <w:rPr>
          <w:rFonts w:ascii="Aptos" w:hAnsi="Aptos" w:eastAsia="Aptos"/>
          <w:b/>
          <w:i w:val="0"/>
          <w:color w:val="4C1D95"/>
          <w:sz w:val="40"/>
        </w:rPr>
        <w:t>12. Troubleshooting operativo</w:t>
      </w:r>
    </w:p>
    <w:tbl>
      <w:tblPr>
        <w:tblW w:type="auto" w:w="0"/>
        <w:jc w:val="center"/>
        <w:tblLook w:firstColumn="1" w:firstRow="1" w:lastColumn="0" w:lastRow="0" w:noHBand="0" w:noVBand="1" w:val="04A0"/>
      </w:tblPr>
      <w:tblGrid>
        <w:gridCol w:w="10092"/>
      </w:tblGrid>
      <w:tr>
        <w:tc>
          <w:tcPr>
            <w:tcW w:type="dxa" w:w="10092"/>
            <w:shd w:fill="FFF7ED"/>
            <w:tcBorders>
              <w:left w:val="single" w:sz="12" w:color="C2410C"/>
              <w:top w:val="single" w:sz="12" w:color="C2410C"/>
              <w:right w:val="single" w:sz="12" w:color="C2410C"/>
              <w:bottom w:val="single" w:sz="12" w:color="C2410C"/>
            </w:tcBorders>
          </w:tcPr>
          <w:p>
            <w:pPr>
              <w:spacing w:before="40" w:after="40" w:line="276" w:lineRule="auto"/>
            </w:pPr>
            <w:r>
              <w:rPr>
                <w:rFonts w:ascii="Aptos" w:hAnsi="Aptos" w:eastAsia="Aptos"/>
                <w:b/>
                <w:i w:val="0"/>
                <w:color w:val="C2410C"/>
                <w:sz w:val="21"/>
              </w:rPr>
              <w:t xml:space="preserve">El usuario no ve una sede: </w:t>
            </w:r>
            <w:r>
              <w:rPr>
                <w:rFonts w:ascii="Aptos" w:hAnsi="Aptos" w:eastAsia="Aptos"/>
                <w:b w:val="0"/>
                <w:i w:val="0"/>
                <w:color w:val="111827"/>
                <w:sz w:val="20"/>
              </w:rPr>
              <w:t>Revisar adjudicacion en gestor de perfiles, tabla usuarios_sedes y usabilidad de cambio de sede.</w:t>
            </w:r>
          </w:p>
        </w:tc>
      </w:tr>
    </w:tbl>
    <w:p/>
    <w:tbl>
      <w:tblPr>
        <w:tblW w:type="auto" w:w="0"/>
        <w:jc w:val="center"/>
        <w:tblLook w:firstColumn="1" w:firstRow="1" w:lastColumn="0" w:lastRow="0" w:noHBand="0" w:noVBand="1" w:val="04A0"/>
      </w:tblPr>
      <w:tblGrid>
        <w:gridCol w:w="10092"/>
      </w:tblGrid>
      <w:tr>
        <w:tc>
          <w:tcPr>
            <w:tcW w:type="dxa" w:w="10092"/>
            <w:shd w:fill="FFF7ED"/>
            <w:tcBorders>
              <w:left w:val="single" w:sz="12" w:color="C2410C"/>
              <w:top w:val="single" w:sz="12" w:color="C2410C"/>
              <w:right w:val="single" w:sz="12" w:color="C2410C"/>
              <w:bottom w:val="single" w:sz="12" w:color="C2410C"/>
            </w:tcBorders>
          </w:tcPr>
          <w:p>
            <w:pPr>
              <w:spacing w:before="40" w:after="40" w:line="276" w:lineRule="auto"/>
            </w:pPr>
            <w:r>
              <w:rPr>
                <w:rFonts w:ascii="Aptos" w:hAnsi="Aptos" w:eastAsia="Aptos"/>
                <w:b/>
                <w:i w:val="0"/>
                <w:color w:val="C2410C"/>
                <w:sz w:val="21"/>
              </w:rPr>
              <w:t xml:space="preserve">Una sede periferica no puede comprar: </w:t>
            </w:r>
            <w:r>
              <w:rPr>
                <w:rFonts w:ascii="Aptos" w:hAnsi="Aptos" w:eastAsia="Aptos"/>
                <w:b w:val="0"/>
                <w:i w:val="0"/>
                <w:color w:val="111827"/>
                <w:sz w:val="20"/>
              </w:rPr>
              <w:t>Es esperado: la orden a proveedor solo procede desde la sede central. Debe usar "solicitud de compra".</w:t>
            </w:r>
          </w:p>
        </w:tc>
      </w:tr>
    </w:tbl>
    <w:p/>
    <w:tbl>
      <w:tblPr>
        <w:tblW w:type="auto" w:w="0"/>
        <w:jc w:val="center"/>
        <w:tblLook w:firstColumn="1" w:firstRow="1" w:lastColumn="0" w:lastRow="0" w:noHBand="0" w:noVBand="1" w:val="04A0"/>
      </w:tblPr>
      <w:tblGrid>
        <w:gridCol w:w="10092"/>
      </w:tblGrid>
      <w:tr>
        <w:tc>
          <w:tcPr>
            <w:tcW w:type="dxa" w:w="10092"/>
            <w:shd w:fill="FFF7ED"/>
            <w:tcBorders>
              <w:left w:val="single" w:sz="12" w:color="C2410C"/>
              <w:top w:val="single" w:sz="12" w:color="C2410C"/>
              <w:right w:val="single" w:sz="12" w:color="C2410C"/>
              <w:bottom w:val="single" w:sz="12" w:color="C2410C"/>
            </w:tcBorders>
          </w:tcPr>
          <w:p>
            <w:pPr>
              <w:spacing w:before="40" w:after="40" w:line="276" w:lineRule="auto"/>
            </w:pPr>
            <w:r>
              <w:rPr>
                <w:rFonts w:ascii="Aptos" w:hAnsi="Aptos" w:eastAsia="Aptos"/>
                <w:b/>
                <w:i w:val="0"/>
                <w:color w:val="C2410C"/>
                <w:sz w:val="21"/>
              </w:rPr>
              <w:t xml:space="preserve">El indicador "solicitud de compra" no aparece en central: </w:t>
            </w:r>
            <w:r>
              <w:rPr>
                <w:rFonts w:ascii="Aptos" w:hAnsi="Aptos" w:eastAsia="Aptos"/>
                <w:b w:val="0"/>
                <w:i w:val="0"/>
                <w:color w:val="111827"/>
                <w:sz w:val="20"/>
              </w:rPr>
              <w:t>Verificar que el usuario este logueado en la sede central y tenga requests.central.review.</w:t>
            </w:r>
          </w:p>
        </w:tc>
      </w:tr>
    </w:tbl>
    <w:p/>
    <w:tbl>
      <w:tblPr>
        <w:tblW w:type="auto" w:w="0"/>
        <w:jc w:val="center"/>
        <w:tblLook w:firstColumn="1" w:firstRow="1" w:lastColumn="0" w:lastRow="0" w:noHBand="0" w:noVBand="1" w:val="04A0"/>
      </w:tblPr>
      <w:tblGrid>
        <w:gridCol w:w="10092"/>
      </w:tblGrid>
      <w:tr>
        <w:tc>
          <w:tcPr>
            <w:tcW w:type="dxa" w:w="10092"/>
            <w:shd w:fill="FFF7ED"/>
            <w:tcBorders>
              <w:left w:val="single" w:sz="12" w:color="C2410C"/>
              <w:top w:val="single" w:sz="12" w:color="C2410C"/>
              <w:right w:val="single" w:sz="12" w:color="C2410C"/>
              <w:bottom w:val="single" w:sz="12" w:color="C2410C"/>
            </w:tcBorders>
          </w:tcPr>
          <w:p>
            <w:pPr>
              <w:spacing w:before="40" w:after="40" w:line="276" w:lineRule="auto"/>
            </w:pPr>
            <w:r>
              <w:rPr>
                <w:rFonts w:ascii="Aptos" w:hAnsi="Aptos" w:eastAsia="Aptos"/>
                <w:b/>
                <w:i w:val="0"/>
                <w:color w:val="C2410C"/>
                <w:sz w:val="21"/>
              </w:rPr>
              <w:t xml:space="preserve">Un lector no se detecta automaticamente: </w:t>
            </w:r>
            <w:r>
              <w:rPr>
                <w:rFonts w:ascii="Aptos" w:hAnsi="Aptos" w:eastAsia="Aptos"/>
                <w:b w:val="0"/>
                <w:i w:val="0"/>
                <w:color w:val="111827"/>
                <w:sz w:val="20"/>
              </w:rPr>
              <w:t>Probar keyboard wedge, validar contexto seguro del navegador o registrar perfil del equipo en la sede.</w:t>
            </w:r>
          </w:p>
        </w:tc>
      </w:tr>
    </w:tbl>
    <w:p/>
    <w:tbl>
      <w:tblPr>
        <w:tblW w:type="auto" w:w="0"/>
        <w:jc w:val="center"/>
        <w:tblLook w:firstColumn="1" w:firstRow="1" w:lastColumn="0" w:lastRow="0" w:noHBand="0" w:noVBand="1" w:val="04A0"/>
      </w:tblPr>
      <w:tblGrid>
        <w:gridCol w:w="10092"/>
      </w:tblGrid>
      <w:tr>
        <w:tc>
          <w:tcPr>
            <w:tcW w:type="dxa" w:w="10092"/>
            <w:shd w:fill="FFF7ED"/>
            <w:tcBorders>
              <w:left w:val="single" w:sz="12" w:color="C2410C"/>
              <w:top w:val="single" w:sz="12" w:color="C2410C"/>
              <w:right w:val="single" w:sz="12" w:color="C2410C"/>
              <w:bottom w:val="single" w:sz="12" w:color="C2410C"/>
            </w:tcBorders>
          </w:tcPr>
          <w:p>
            <w:pPr>
              <w:spacing w:before="40" w:after="40" w:line="276" w:lineRule="auto"/>
            </w:pPr>
            <w:r>
              <w:rPr>
                <w:rFonts w:ascii="Aptos" w:hAnsi="Aptos" w:eastAsia="Aptos"/>
                <w:b/>
                <w:i w:val="0"/>
                <w:color w:val="C2410C"/>
                <w:sz w:val="21"/>
              </w:rPr>
              <w:t xml:space="preserve">La traza no aparece completa: </w:t>
            </w:r>
            <w:r>
              <w:rPr>
                <w:rFonts w:ascii="Aptos" w:hAnsi="Aptos" w:eastAsia="Aptos"/>
                <w:b w:val="0"/>
                <w:i w:val="0"/>
                <w:color w:val="111827"/>
                <w:sz w:val="20"/>
              </w:rPr>
              <w:t>Confirmar que el proceso haya cerrado en estado terminado/parcial/cancelado/error y que el usuario tuviera token valido.</w:t>
            </w:r>
          </w:p>
        </w:tc>
      </w:tr>
    </w:tbl>
    <w:p/>
    <w:p>
      <w:pPr>
        <w:spacing w:before="360" w:after="0" w:line="240" w:lineRule="auto"/>
        <w:jc w:val="center"/>
      </w:pPr>
      <w:r>
        <w:rPr>
          <w:rFonts w:ascii="Aptos" w:hAnsi="Aptos" w:eastAsia="Aptos"/>
          <w:b/>
          <w:i w:val="0"/>
          <w:color w:val="4C1D95"/>
          <w:sz w:val="24"/>
        </w:rPr>
        <w:t>Fin de la guia v19</w:t>
      </w:r>
    </w:p>
    <w:sectPr w:rsidR="00FC693F" w:rsidRPr="0006063C" w:rsidSect="00034616">
      <w:pgSz w:w="11906" w:h="16838"/>
      <w:pgMar w:top="907"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