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309360" cy="3864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center"/>
      </w:pPr>
      <w:r>
        <w:rPr>
          <w:rFonts w:ascii="DejaVu Sans" w:hAnsi="DejaVu Sans"/>
          <w:b/>
          <w:i w:val="0"/>
          <w:color w:val="4C1D95"/>
          <w:sz w:val="36"/>
        </w:rPr>
        <w:t>Guía definitiva de operación y administración</w:t>
      </w:r>
    </w:p>
    <w:p>
      <w:pPr>
        <w:spacing w:after="240" w:line="276" w:lineRule="auto"/>
        <w:jc w:val="center"/>
      </w:pPr>
      <w:r>
        <w:rPr>
          <w:rFonts w:ascii="DejaVu Sans" w:hAnsi="DejaVu Sans"/>
          <w:b w:val="0"/>
          <w:i w:val="0"/>
          <w:color w:val="64748B"/>
          <w:sz w:val="23"/>
        </w:rPr>
        <w:t>Versión v15 · inventario local y general por sede, lectores multicanal, solicitudes de dispensación, perfiles y trazabilidad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F97316"/>
                <w:sz w:val="23"/>
              </w:rPr>
              <w:t>Documento de uso definitivo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Este manual describe la operación diaria, la administración funcional, el despliegue y la solución de problemas de AkriPharmacy v15. Está escrito para equipos de farmacia, administradores de sede, QFB, auxiliares, tecnología y auditores internos.</w:t>
            </w:r>
          </w:p>
        </w:tc>
      </w:tr>
    </w:tbl>
    <w:p/>
    <w:p>
      <w:pPr>
        <w:spacing w:after="120" w:line="276" w:lineRule="auto"/>
      </w:pPr>
      <w:r>
        <w:rPr>
          <w:rFonts w:ascii="DejaVu Sans" w:hAnsi="DejaVu Sans"/>
          <w:b/>
          <w:i w:val="0"/>
          <w:color w:val="6D28D9"/>
          <w:sz w:val="28"/>
        </w:rPr>
        <w:t>Contenido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Arquitectura de la solución y alcance multisede.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Despliegue con bundles para macOS, Windows y AWS.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Gestión de perfiles, usabilidades y acceso por sede.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Lectores de código de barras: detección automática y perfiles físicos.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Inventario local por sede, inventario general y procesos de ingreso/egreso/consulta.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Dispensación desde solicitud manual, API clínica y fórmula escaneada.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Cadena de frío, termohigrómetros, trazabilidad terminada y reportes.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1. Propósito y alcance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AkriPharmacy v15 es un ERP farmacéutico orientado a inventario por lote, dispensación regulada, cadena de frío, controlados, exportación documental e integración con SIESA. La versión v15 introduce un modelo operativo completo para múltiples sedes, inventario local por sede y vista general consolidada, solicitudes de dispensación desde diferentes orígenes, usabilidades por perfil y una bitácora específica de procesos terminados.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3FF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6D28D9"/>
                <w:sz w:val="23"/>
              </w:rPr>
              <w:t>Alcance operativo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La aplicación permite trabajar con sedes independientes, cada una con sus almacenes, ubicaciones, perfiles de acceso, lectores, termohigrómetros, solicitudes de dispensación y trazabilidad propia; a la vez, consolida el estado general del negocio para supervisión central.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2. Arquitectura funcional de referencia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arquitectura se divide en cinco capas: interfaz operativa, backend transaccional, base de datos, integraciones externas y gobierno/seguridad. Esto reduce acoplamientos y permite que cada sede opere localmente sin perder la visión corporativa.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sit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1. Arquitectura funcional v15: frontend, backend, base de datos e integraciones.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Capa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Responsabilidad principal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Componentes clave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Interfaz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Operación diaria y administración funcional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Angular, centro operativo estático /ops, formularios de captura, dashboards y reportes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Backend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Reglas de negocio, seguridad y APIs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Node/Express, JWT, validaciones, exportaciones, trazabilidad y SIESA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Datos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Persistencia transaccional y catálogos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MariaDB 11.8.3, tablas maestras, vistas de inventario, auditoría y solicitudes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Integraciones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Sistemas externos y dispositivos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SIESA, historia clínica, termohigrómetros, WebHID/WebUSB/Web Serial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Gobierno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Roles, sedes, usabilidades y cumplimiento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Perfiles, usuarios_sedes, role_usabilities, bitácora de procesos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3. Despliegue e instaladores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El proyecto incluye bundles listos para despliegue en macOS, Windows y AWS. En todos los casos, la ejecución recomendada usa Docker Compose en modo sin recompilar frontend, con un centro operativo HTML/JS que evita dependencias de build locales.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Destino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Archivo / bundle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Uso esperado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macOS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AkriPharmacy_macOS_installer.command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Baja el stack anterior, levanta docker-compose.nobuild y abre el navegador local.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Windows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AkriPharmacy_windows_installer.ps1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Ejecuta el mismo flujo desde PowerShell y abre la URL local.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AWS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AkriPharmacy_aws_deploy.sh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Empaqueta backend, frontend estático, base y task definitions para ECS/EC2.</w:t>
            </w:r>
          </w:p>
        </w:tc>
      </w:tr>
    </w:tbl>
    <w:p/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Extraer el paquete AkriPharmacy_v15.zip en una ruta de trabajo.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Entrar a la carpeta deploy y confirmar que Docker Desktop o Docker Engine estén activos.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Ejecutar el instalador de la plataforma o docker compose -f docker-compose.nobuild.yml up -d.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Esperar a que MariaDB, backend y frontend queden en estado healthy.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Abrir http://localhost:8080 e iniciar sesión con el usuario administrador.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8" w:color="E2E8F0"/>
              <w:left w:val="single" w:sz="8" w:color="E2E8F0"/>
              <w:bottom w:val="single" w:sz="8" w:color="E2E8F0"/>
              <w:right w:val="single" w:sz="8" w:color="E2E8F0"/>
            </w:tcBorders>
          </w:tcPr>
          <w:p>
            <w:r>
              <w:rPr>
                <w:rFonts w:ascii="DejaVu Sans Mono" w:hAnsi="DejaVu Sans Mono"/>
                <w:b/>
                <w:color w:val="4C1D95"/>
                <w:sz w:val="21"/>
              </w:rPr>
              <w:t>Comando alterno de despliegue manual</w:t>
              <w:br/>
            </w:r>
            <w:r>
              <w:rPr>
                <w:rFonts w:ascii="DejaVu Sans Mono" w:hAnsi="DejaVu Sans Mono"/>
                <w:color w:val="111827"/>
                <w:sz w:val="19"/>
              </w:rPr>
              <w:t>cd deploy</w:t>
              <w:br/>
              <w:t>docker compose -f docker-compose.nobuild.yml down</w:t>
              <w:br/>
              <w:t>docker compose -f docker-compose.nobuild.yml up -d</w:t>
              <w:br/>
              <w:t>docker compose -f docker-compose.nobuild.yml ps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3B82F6"/>
                <w:sz w:val="23"/>
              </w:rPr>
              <w:t>Recomendación operativa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Para AWS se recomienda almacenar /backend/uploads en un volumen persistente o servicio equivalente, y usar una instancia MariaDB administrada (RDS/Aurora) en ambientes productivos.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4. Acceso, perfiles y usabilidades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El acceso se controla por usuario, perfil y sede. Un mismo usuario puede tener acceso a varias sedes mediante usuarios_sedes, mientras que role_usabilities habilita funciones finas como ver inventario general, importar solicitudes desde HCE, usar fórmula escaneada, operar auto-detección de lectores o consultar la trazabilidad de procesos terminados.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permissions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2. Matriz de usabilidades por perfil.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Concepto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Qué controla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Ejemplos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Rol / perfil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Permisos transaccionales macro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Dispensar, facturar, aprobar compras, gestionar usuarios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Usabilidad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Función fina habilitable/deshabilitable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inventory.local_general, dispensing.requests.ehr, scanners.auto_detect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Acceso por sede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Dónde puede operar el usuario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Bogotá, Medellín o varias sedes a la vez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Perfil logueado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Identidad trazable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Usuario, nombre completo, id_rol, role, sedes y usabilidades cargadas</w:t>
            </w:r>
          </w:p>
        </w:tc>
      </w:tr>
    </w:tbl>
    <w:p/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El administrador principal crea o edita el perfil.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Asigna permisos troncales del rol.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Asigna usabilidades finas según el alcance del cargo.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Relaciona el usuario con una o varias sedes y marca una predeterminada.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El login devuelve token, perfil, sedes y usabilidades activas.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10B981"/>
                <w:sz w:val="23"/>
              </w:rPr>
              <w:t>Buenas prácticas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Separar claramente lo que un perfil puede hacer (rol) de lo que debe ver o usar en la interfaz (usabilidad) reduce errores operativos y facilita auditoría interna.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5. Inventario local por sede e inventario general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v15 incorpora dos vistas de inventario. La vista local resume las existencias de una sede específica; la vista general consolida el stock de todas las sedes para supervisión, redistribución y análisis de cobertura.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multisite_inven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3. Vista consolidada con inventario general e inventario local por sede.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Vista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Nivel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Objetivo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Consulta típica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vw_inventario_local_sede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Sede + producto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Control operativo local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¿Qué saldo hay de Insulina NPH en Medellín?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vw_inventario_general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Producto global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Supervisión central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¿Cuál es el stock total del producto en toda la red?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Stock por lote y ubicación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Lote + almacén + ubicación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Ejecución física / FEFO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¿Qué lote debe salir primero y desde dónde?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5.1 Reglas operativas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Cada almacén pertenece a una sede.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El inventario local se alimenta de las existencias del almacén y sus ubicaciones.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El inventario general suma todas las existencias disponibles, reservadas y en cuarentena por producto.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Las decisiones de despacho siguen FEFO cuando hay lotes múltiples.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trazabilidad registra sede, usuario y referencia del movimiento terminado.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8" w:color="E2E8F0"/>
              <w:left w:val="single" w:sz="8" w:color="E2E8F0"/>
              <w:bottom w:val="single" w:sz="8" w:color="E2E8F0"/>
              <w:right w:val="single" w:sz="8" w:color="E2E8F0"/>
            </w:tcBorders>
          </w:tcPr>
          <w:p>
            <w:r>
              <w:rPr>
                <w:rFonts w:ascii="DejaVu Sans Mono" w:hAnsi="DejaVu Sans Mono"/>
                <w:b/>
                <w:color w:val="4C1D95"/>
                <w:sz w:val="21"/>
              </w:rPr>
              <w:t>Algoritmo de resumen local/general</w:t>
              <w:br/>
            </w:r>
            <w:r>
              <w:rPr>
                <w:rFonts w:ascii="DejaVu Sans Mono" w:hAnsi="DejaVu Sans Mono"/>
                <w:color w:val="111827"/>
                <w:sz w:val="19"/>
              </w:rPr>
              <w:t>for each existencia:</w:t>
              <w:br/>
              <w:t xml:space="preserve">    identificar lote, producto, almacen y sede</w:t>
              <w:br/>
              <w:t xml:space="preserve">    acumular cantidad_disponible, reservada y cuarentena</w:t>
              <w:br/>
              <w:t xml:space="preserve">    calcular vencimiento mas proximo y valoraciones</w:t>
              <w:br/>
              <w:t xml:space="preserve">    publicar vista local por sede y vista general consolidada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6. Lectores de código de barras: tipos, formas de uso y auto-detección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AkriPharmacy v15 soporta operación con lápiz óptico, escáner de ranura, escáner CCD, escáner de imagen y láser de pistola. La forma física puede ser pistola, fija, de mesa o portátil/wearable. El sistema diferencia entre el tipo físico del lector y el canal con el que el navegador o el sistema operativo lo exponen.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906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ner_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4. Arquitectura de lectura de códigos de barras y normalización de eventos.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Tipo físico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Canal frecuente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Forma de uso típica</w:t>
            </w:r>
          </w:p>
        </w:tc>
        <w:tc>
          <w:tcPr>
            <w:tcW w:type="dxa" w:w="2484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Qué detecta automáticamente la app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Lápiz óptico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Keyboard wedge / serial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Portátil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Canal disponible; tipo por perfil o mapeo administrativo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Escáner de ranura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Keyboard wedge / USB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Fijo / de mesa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Canal y, si hay IDs, vendor/product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Escáner CCD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HID / wedge / serial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Pistola / fijo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Canal, autorización y metadatos del dispositivo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Escáner de imagen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HID / USB / cámara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Pistola / portátil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Canal, vendor/product y fallback a cámara / imagen</w:t>
            </w:r>
          </w:p>
        </w:tc>
      </w:tr>
      <w:tr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Láser de pistola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HID / wedge / serial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Pistola</w:t>
            </w:r>
          </w:p>
        </w:tc>
        <w:tc>
          <w:tcPr>
            <w:tcW w:type="dxa" w:w="2484"/>
          </w:tcPr>
          <w:p>
            <w:r>
              <w:rPr>
                <w:rFonts w:ascii="DejaVu Sans" w:hAnsi="DejaVu Sans"/>
                <w:color w:val="111827"/>
                <w:sz w:val="19"/>
              </w:rPr>
              <w:t>Canal, vendor/product y perfil configurado por sede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F97316"/>
                <w:sz w:val="23"/>
              </w:rPr>
              <w:t>Principio de detección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La app intenta detectar primero el canal disponible: keyboard wedge, WebHID, Web Serial, WebUSB, cámara o imagen importada. Cuando el canal expone vendor/product ID o puertos autorizados, el sistema puede asociar mejor el perfil físico. Cuando el lector se comporta como teclado, el sistema detecta el canal wedge y aplica inferencia o mapeo administrativo.</w:t>
            </w:r>
          </w:p>
        </w:tc>
      </w:tr>
    </w:tbl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6888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ner_detection_flow_verti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88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5. Flujo de auto-detección y selección de canal de captura.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8" w:color="E2E8F0"/>
              <w:left w:val="single" w:sz="8" w:color="E2E8F0"/>
              <w:bottom w:val="single" w:sz="8" w:color="E2E8F0"/>
              <w:right w:val="single" w:sz="8" w:color="E2E8F0"/>
            </w:tcBorders>
          </w:tcPr>
          <w:p>
            <w:r>
              <w:rPr>
                <w:rFonts w:ascii="DejaVu Sans Mono" w:hAnsi="DejaVu Sans Mono"/>
                <w:b/>
                <w:color w:val="4C1D95"/>
                <w:sz w:val="21"/>
              </w:rPr>
              <w:t>Algoritmo de auto-detección de lectores</w:t>
              <w:br/>
            </w:r>
            <w:r>
              <w:rPr>
                <w:rFonts w:ascii="DejaVu Sans Mono" w:hAnsi="DejaVu Sans Mono"/>
                <w:color w:val="111827"/>
                <w:sz w:val="19"/>
              </w:rPr>
              <w:t>if navigator.hid disponible: ofrecer WebHID y listar dispositivos autorizados</w:t>
              <w:br/>
              <w:t>if navigator.serial disponible: ofrecer Web Serial y listar puertos autorizados</w:t>
              <w:br/>
              <w:t>if navigator.usb disponible: ofrecer WebUSB y listar dispositivos autorizados</w:t>
              <w:br/>
              <w:t>if BarcodeDetector y getUserMedia disponibles: habilitar captura por cámara</w:t>
              <w:br/>
              <w:t>siempre habilitar keyboard wedge, imagen importada y modo manual</w:t>
              <w:br/>
              <w:t>normalizar el evento de lectura y registrar canal_lectura, tipo_scanner y forma_uso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6.1 Centro unificado de captura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42119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inventory_scan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1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6. Centro unificado de captura para consulta, ingreso y egreso.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Abrir Inventario y seleccionar el modo: consulta, ingreso o egreso.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Verificar el canal detectado o conectarse mediante el canal autorizado.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Escanear el código. La app resuelve producto, lotes y existencias.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En ingreso, registrar lote, vencimiento, ubicación destino y costos.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En egreso, seleccionar lote FEFO o lote específico y registrar la salida.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La lectura queda registrada en escaneos_codigo_barras con metadatos del canal y del operador.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EF4444"/>
                <w:sz w:val="23"/>
              </w:rPr>
              <w:t>Nota técnica de navegador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Las APIs de cámara y de dispositivos avanzados dependen del navegador y del contexto seguro. Por diseño, la aplicación conserva siempre un modo wedge/manual para que la operación no dependa de una sola tecnología.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7. Productos, imágenes y ficha farmacéutica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Cada producto mantiene SKU, código de barras, nombre comercial, principio activo, concentración, tipo, flags regulatorios, rangos térmicos y galería de imágenes. La imagen puede llegar como archivo importado, imagen escaneada o fotografía directa del dispositivo.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Las imágenes alimentan identificación visual, capacitación y control de recepción.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imagen principal se expone en las resoluciones de código de barras y en la ficha del producto.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Los metadatos del origen de la imagen permiten distinguir entre fotografía, importación y escaneo documental.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Campo</w:t>
            </w:r>
          </w:p>
        </w:tc>
        <w:tc>
          <w:tcPr>
            <w:tcW w:type="dxa" w:w="4968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Uso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tipo_origen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escaneada, importada o fotografía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es_principal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define la imagen usada en la ficha y resoluciones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metadata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permite registrar cámara, resolución, comentarios o lote relacionado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id_usuario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deja trazabilidad del responsable que cargó la imagen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8. Cadena de frío y termohigrómetros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cadena de frío permanece como componente central de la solución. Cada equipo físico puede asociarse a integraciones de termohigrómetros por polling HTTP JSON o webhook. El sistema conserva mapeos device_id ↔ equipo, bitácora de sincronización, lecturas, alertas y excursiones.</w:t>
      </w:r>
    </w:p>
    <w:p>
      <w:pPr>
        <w:spacing w:after="16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Cuando un producto requiere cadena de frío, el módulo de dispensación exige registrar la temperatura de entrega. En inventario y solicitudes se conserva esta condición para decisiones FEFO y de cumplimiento.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846320" cy="91001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nsing_flow_vertic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910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7. Flujo vertical de validación para dispensación y controles asociados.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Las alertas se consultan por equipo, sede y severidad.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El dashboard integra conectividad de termohigrómetros y últimas lecturas.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Las excursiones quedan listas para exportación y revisión regulatoria.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dispensación de medicamentos refrigerados exige captura de temperatura de entrega.</w:t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9. Dispensación desde solicitud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versión v15 amplía el módulo de dispensación con el concepto de solicitud de dispensación. La solicitud no es la entrega final; es el documento operativo que recopila la necesidad terapéutica antes de asignar lotes y firmar la recepción.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dispensing_requ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8. Solicitud manual, importación HCE y captura de fórmula escaneada.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Origen de solicitud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Descripción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Soporte almacenado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Manual item por item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El operador digita paciente, observaciones e ítems solicitados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Registro estructurado en solicitudes_dispensacion y detalle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API / historia clínica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Se importa un payload JSON desde HCE o un intermediario clínico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payload_origen + referencia externa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Fórmula médica escaneada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Se adjunta imagen/PDF de la fórmula y se transcriben/validan ítems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archivo_nombre + archivo_data_url + detalle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9.1 Flujo manual item por item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Seleccionar sede y almacén sugerido.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Registrar paciente: nombre, cédula, teléfono y dirección.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Agregar cada ítem con descripción, dosis, vía, frecuencia, duración y cantidad solicitada.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Guardar la solicitud. El sistema genera consecutivo SOL-XXXXXX y deja trazabilidad de creación.</w:t>
      </w:r>
    </w:p>
    <w:p>
      <w:pPr>
        <w:pStyle w:val="ListNumber"/>
        <w:spacing w:after="40"/>
      </w:pPr>
      <w:r>
        <w:rPr>
          <w:rFonts w:ascii="DejaVu Sans" w:hAnsi="DejaVu Sans"/>
          <w:color w:val="111827"/>
          <w:sz w:val="21"/>
        </w:rPr>
        <w:t>Validar stock y lotes antes de cumplir la solicitud como dispensación final.</w:t>
      </w:r>
    </w:p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9.2 Importación desde historia clínica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API acepta payloads JSON con estructura de paciente e ítems. Este flujo reduce digitación manual y mejora continuidad con la historia clínica electrónica.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8" w:color="E2E8F0"/>
              <w:left w:val="single" w:sz="8" w:color="E2E8F0"/>
              <w:bottom w:val="single" w:sz="8" w:color="E2E8F0"/>
              <w:right w:val="single" w:sz="8" w:color="E2E8F0"/>
            </w:tcBorders>
          </w:tcPr>
          <w:p>
            <w:r>
              <w:rPr>
                <w:rFonts w:ascii="DejaVu Sans Mono" w:hAnsi="DejaVu Sans Mono"/>
                <w:b/>
                <w:color w:val="4C1D95"/>
                <w:sz w:val="21"/>
              </w:rPr>
              <w:t>Ejemplo de payload HCE</w:t>
              <w:br/>
            </w:r>
            <w:r>
              <w:rPr>
                <w:rFonts w:ascii="DejaVu Sans Mono" w:hAnsi="DejaVu Sans Mono"/>
                <w:color w:val="111827"/>
                <w:sz w:val="19"/>
              </w:rPr>
              <w:t>{</w:t>
              <w:br/>
              <w:t xml:space="preserve">  "id_sede": 1,</w:t>
              <w:br/>
              <w:t xml:space="preserve">  "id_almacen_sugerido": 1,</w:t>
              <w:br/>
              <w:t xml:space="preserve">  "paciente": {"nombre": "Ana Ríos", "documento": "1012345678", "telefono": "3001112233", "direccion": "Calle 10"},</w:t>
              <w:br/>
              <w:t xml:space="preserve">  "items": [</w:t>
              <w:br/>
              <w:t xml:space="preserve">    {"descripcion_libre": "Amoxicilina 500 mg", "cantidad_solicitada": 21, "frecuencia": "Cada 8 h"}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9.3 Solicitud desde fórmula escaneada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Se adjunta la imagen o PDF de la fórmula. La aplicación conserva el documento original como soporte, y el operador transcribe o valida los ítems clínicos antes de continuar. Esto evita perder el original y deja respaldo para auditoría y revisión clínica.</w:t>
      </w:r>
    </w:p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9.4 De solicitud a dispensación final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solicitud se consulta con su detalle, paciente, soporte y origen.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Cada ítem se mapea a un lote disponible en la sede/almacén correspondiente.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Se ejecuta la dispensación final con firma digital del receptor.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solicitud cambia de estado a dispensada y queda enlazada a la dispensación resultante.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3B82F6"/>
                <w:sz w:val="23"/>
              </w:rPr>
              <w:t>Cadena de frío y controlados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Cuando el lote asignado requiere cadena de frío, la dispensación exige temperatura de entrega. Cuando el producto es controlado, la salida también se registra en el libro digital de controlados.</w:t>
            </w:r>
          </w:p>
        </w:tc>
      </w:tr>
    </w:tbl>
    <w:p/>
    <w:p>
      <w:r>
        <w:br w:type="page"/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10. Dispensación domiciliaria y firma digital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dispensación conserva el modelo introducido previamente: domiciliario opcional, nombre de quien recibe, nombre del paciente, documento, dirección, teléfono y firma digital a conformidad. El administrador puede crear y desactivar domiciliarios; la eliminación lógica conserva trazabilidad.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Si el receptor es un domiciliario, puede seleccionarse desde la base de domiciliarios.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Si el receptor es el paciente o su representante, se registra su identificación y contacto.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firma digital se almacena como data URL y queda enlazada a la dispensación.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La operación final descuenta stock, genera movimientos y deja trazabilidad de proceso terminado.</w:t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11. Trazabilidad de procesos terminados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tabla procesos_terminados_trazabilidad complementa el log de auditoría tradicional. Mientras la auditoría registra acciones atómicas, la traza terminada se enfoca en eventos de negocio ya concluidos: movimiento de inventario, creación de solicitud, dispensación final, sincronización u otros procesos que se desean seguir de manera ejecutiva.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7071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_flo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DejaVu Sans" w:hAnsi="DejaVu Sans"/>
          <w:i/>
          <w:color w:val="64748B"/>
          <w:sz w:val="19"/>
        </w:rPr>
        <w:t>Figura 9. Cadena de trazabilidad desde login hasta reporte.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Campo</w:t>
            </w:r>
          </w:p>
        </w:tc>
        <w:tc>
          <w:tcPr>
            <w:tcW w:type="dxa" w:w="4968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Sentido operacional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proceso / subproceso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Agrupa el evento de negocio terminado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id_usuario / perfil_nombre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Identifica al operador y el perfil logueado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id_sede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Contexto físico u organizacional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referencia_tipo / referencia_id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Enlace a la entidad principal: dispensación, movimiento, solicitud</w:t>
            </w:r>
          </w:p>
        </w:tc>
      </w:tr>
      <w:tr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payload_json</w:t>
            </w:r>
          </w:p>
        </w:tc>
        <w:tc>
          <w:tcPr>
            <w:tcW w:type="dxa" w:w="4968"/>
          </w:tcPr>
          <w:p>
            <w:r>
              <w:rPr>
                <w:rFonts w:ascii="DejaVu Sans" w:hAnsi="DejaVu Sans"/>
                <w:color w:val="111827"/>
                <w:sz w:val="19"/>
              </w:rPr>
              <w:t>Resumen útil para reportes o diagnósticos rápidos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Borders>
              <w:top w:val="single" w:sz="8" w:color="E2E8F0"/>
              <w:left w:val="single" w:sz="8" w:color="E2E8F0"/>
              <w:bottom w:val="single" w:sz="8" w:color="E2E8F0"/>
              <w:right w:val="single" w:sz="8" w:color="E2E8F0"/>
            </w:tcBorders>
          </w:tcPr>
          <w:p>
            <w:r>
              <w:rPr>
                <w:rFonts w:ascii="DejaVu Sans Mono" w:hAnsi="DejaVu Sans Mono"/>
                <w:b/>
                <w:color w:val="4C1D95"/>
                <w:sz w:val="21"/>
              </w:rPr>
              <w:t>Regla de trazabilidad terminada</w:t>
              <w:br/>
            </w:r>
            <w:r>
              <w:rPr>
                <w:rFonts w:ascii="DejaVu Sans Mono" w:hAnsi="DejaVu Sans Mono"/>
                <w:color w:val="111827"/>
                <w:sz w:val="19"/>
              </w:rPr>
              <w:t>al completar una operación de negocio:</w:t>
              <w:br/>
              <w:t xml:space="preserve">    persistir la entidad principal (movimiento, solicitud o dispensación)</w:t>
              <w:br/>
              <w:t xml:space="preserve">    registrar usuario, perfil, sede, referencia y resumen</w:t>
              <w:br/>
              <w:t xml:space="preserve">    exponer la traza en /api/traceability/processes</w:t>
              <w:br/>
              <w:t xml:space="preserve">    permitir exportación y análisis posterior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12. Reportes y exportaciones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aplicación mantiene exportación en JSON, Excel y PDF para dashboard, inventario, compras, ventas, vencimientos, cadena de frío, facturación SIESA, controlados, trazabilidad de escaneos e imágenes adjuntas por producto. La v15 añade especialmente el seguimiento de solicitudes y la trazabilidad operativa para revisión administrativa.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JSON: integración técnica y auditorías estructuradas.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Excel: operación diaria, conciliaciones y análisis tabular.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PDF: evidencia formal para supervisión, comités y entes reguladores.</w:t>
      </w:r>
    </w:p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13. Integración con SIESA</w:t>
      </w:r>
    </w:p>
    <w:p>
      <w:pPr>
        <w:spacing w:after="12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AkriPharmacy conserva el adaptador de facturación SIESA. El flujo recomendado es: generar la factura local, validar el payload contable/comercial, enviar a SIESA y registrar el resultado en los reportes de facturación. La guía de integración técnica específica sigue en la documentación del proyecto.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F97316"/>
                <w:sz w:val="23"/>
              </w:rPr>
              <w:t>Recomendación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Mantener un ambiente de pruebas con modo mock para validar estructura de payloads, numeración y estados antes de usar las credenciales productivas del cliente.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14. Solución de problemas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Síntoma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Causa probable</w:t>
            </w:r>
          </w:p>
        </w:tc>
        <w:tc>
          <w:tcPr>
            <w:tcW w:type="dxa" w:w="3312"/>
            <w:vAlign w:val="center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3F4F6"/>
          </w:tcPr>
          <w:p>
            <w:r>
              <w:rPr>
                <w:rFonts w:ascii="DejaVu Sans" w:hAnsi="DejaVu Sans"/>
                <w:b/>
                <w:color w:val="4C1D95"/>
                <w:sz w:val="20"/>
              </w:rPr>
              <w:t>Acción recomendada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No aparecen dispositivos WebHID/WebUSB/Web Serial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Navegador sin soporte, sin permisos o contexto inseguro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Usar HTTPS/localhost, revisar permisos y fallback a wedge/manual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El lector se detecta como teclado y no muestra vendor/product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El SO lo expone como keyboard wedge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Registrar un perfil de lector por sede y mapear familia/forma de uso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La solicitud no puede cumplirse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Faltan lotes asignados o el almacén no coincide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Verificar id_almacen, FEFO y mapeo de ítems a lotes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No se ve inventario general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Usabilidad inventory.local_general deshabilitada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Activar la usabilidad en el perfil correspondiente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La dispensación de cadena de frío falla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No se registró temperatura de entrega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Capturar temperatura antes de finalizar</w:t>
            </w:r>
          </w:p>
        </w:tc>
      </w:tr>
      <w:tr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El frontend principal no se recompila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Entorno con restricciones de build</w:t>
            </w:r>
          </w:p>
        </w:tc>
        <w:tc>
          <w:tcPr>
            <w:tcW w:type="dxa" w:w="3312"/>
          </w:tcPr>
          <w:p>
            <w:r>
              <w:rPr>
                <w:rFonts w:ascii="DejaVu Sans" w:hAnsi="DejaVu Sans"/>
                <w:color w:val="111827"/>
                <w:sz w:val="19"/>
              </w:rPr>
              <w:t>Usar el centro operativo /ops y docker-compose.nobuild.yml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DejaVu Sans" w:hAnsi="DejaVu Sans"/>
          <w:b/>
          <w:color w:val="4C1D95"/>
          <w:sz w:val="40"/>
        </w:rPr>
        <w:t>15. Apéndices útiles</w:t>
      </w:r>
    </w:p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15.1 Endpoints operativos nuevos de v15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GET /api/inventory/summary y GET /api/inventory/summary/by-site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GET /api/scanners/catalog y /api/scanners/profiles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GET /api/dispensing/requests y POST /api/dispensing/requests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POST /api/dispensing/requests/import/ehr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POST /api/dispensing/requests/import/prescription-scan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POST /api/dispensing/requests/{id}/fulfill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GET /api/admin/profiles/{id}/usabilities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GET /api/traceability/processes</w:t>
      </w:r>
    </w:p>
    <w:p>
      <w:pPr>
        <w:pStyle w:val="Heading2"/>
        <w:spacing w:before="280" w:after="120"/>
      </w:pPr>
      <w:r>
        <w:rPr>
          <w:rFonts w:ascii="DejaVu Sans" w:hAnsi="DejaVu Sans"/>
          <w:b/>
          <w:color w:val="4C1D95"/>
          <w:sz w:val="32"/>
        </w:rPr>
        <w:t>15.2 Referencias técnicas de navegador</w:t>
      </w:r>
    </w:p>
    <w:p>
      <w:pPr>
        <w:spacing w:after="80" w:line="276" w:lineRule="auto"/>
      </w:pPr>
      <w:r>
        <w:rPr>
          <w:rFonts w:ascii="DejaVu Sans" w:hAnsi="DejaVu Sans"/>
          <w:b w:val="0"/>
          <w:i w:val="0"/>
          <w:color w:val="111827"/>
          <w:sz w:val="22"/>
        </w:rPr>
        <w:t>La operación avanzada de lectores y cámara depende del navegador. WebHID, Web Serial, WebUSB y Barcode Detection API son APIs sujetas a contexto seguro, permisos y compatibilidad del navegador; por eso AkriPharmacy siempre conserva caminos de contingencia (keyboard wedge, imagen importada y captura manual).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Navigator.hid / WebHID: acceso a dispositivos HID y eventos de conexión.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Web Serial API: acceso a puertos seriales autorizados.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WebUSB API: acceso a dispositivos USB autorizados por el navegador.</w:t>
      </w:r>
    </w:p>
    <w:p>
      <w:pPr>
        <w:pStyle w:val="ListBullet"/>
        <w:spacing w:after="40"/>
      </w:pPr>
      <w:r>
        <w:rPr>
          <w:rFonts w:ascii="DejaVu Sans" w:hAnsi="DejaVu Sans"/>
          <w:color w:val="111827"/>
          <w:sz w:val="21"/>
        </w:rPr>
        <w:t>Barcode Detection API y getUserMedia: captura por cámara / imagen en contexto seguro.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3FF"/>
            <w:tcBorders>
              <w:top w:val="single" w:sz="8" w:color="D1D5DB"/>
              <w:left w:val="single" w:sz="8" w:color="D1D5DB"/>
              <w:bottom w:val="single" w:sz="8" w:color="D1D5DB"/>
              <w:right w:val="single" w:sz="8" w:color="D1D5DB"/>
            </w:tcBorders>
          </w:tcPr>
          <w:p>
            <w:pPr>
              <w:spacing w:after="60"/>
            </w:pPr>
            <w:r>
              <w:rPr>
                <w:rFonts w:ascii="DejaVu Sans" w:hAnsi="DejaVu Sans"/>
                <w:b/>
                <w:color w:val="6D28D9"/>
                <w:sz w:val="23"/>
              </w:rPr>
              <w:t>Cierre</w:t>
            </w:r>
          </w:p>
          <w:p>
            <w:pPr>
              <w:spacing w:after="0"/>
            </w:pPr>
            <w:r>
              <w:rPr>
                <w:rFonts w:ascii="DejaVu Sans" w:hAnsi="DejaVu Sans"/>
                <w:color w:val="111827"/>
                <w:sz w:val="21"/>
              </w:rPr>
              <w:t>La guía debe usarse junto con los mockups, diagramas y bundles del proyecto. Ante cambios regulatorios o de operación, la recomendación es versionar nuevamente el manual y el paquete de despliegue.</w:t>
            </w:r>
          </w:p>
        </w:tc>
      </w:tr>
    </w:tbl>
    <w:p/>
    <w:sectPr w:rsidR="00FC693F" w:rsidRPr="0006063C" w:rsidSect="00034616">
      <w:footerReference w:type="default" r:id="rId1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color w:val="64748B"/>
        <w:sz w:val="17"/>
      </w:rPr>
      <w:t>AkriPharmacy v15 · Guía definitiva de operación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4C1D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C1D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C1D9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