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D28D9"/>
          <w:sz w:val="60"/>
        </w:rPr>
        <w:t>AkriPharmacy v16</w:t>
      </w:r>
    </w:p>
    <w:p>
      <w:pPr>
        <w:jc w:val="center"/>
      </w:pPr>
      <w:r>
        <w:rPr>
          <w:b/>
          <w:color w:val="111827"/>
          <w:sz w:val="36"/>
        </w:rPr>
        <w:t>Guía definitiva de producción, endurecimiento y operación segura</w:t>
      </w:r>
    </w:p>
    <w:p>
      <w:pPr>
        <w:jc w:val="center"/>
      </w:pPr>
      <w:r>
        <w:rPr>
          <w:color w:val="64748B"/>
          <w:sz w:val="23"/>
        </w:rPr>
        <w:t>HTTPS | Backups automáticos | Monitoreo | Auditoría extendida | Firma electrónica avanzada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70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0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Visión de la plataforma farmacéutica sobre la que se monta la pista de producción v16.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061"/>
        <w:gridCol w:w="3061"/>
      </w:tblGrid>
      <w:tr>
        <w:tc>
          <w:tcPr>
            <w:tcW w:type="dxa" w:w="3326"/>
            <w:shd w:fill="F8FAFC"/>
            <w:vAlign w:val="center"/>
          </w:tcPr>
          <w:p>
            <w:r/>
            <w:r>
              <w:rPr>
                <w:rFonts w:ascii="DejaVu Sans" w:hAnsi="DejaVu Sans"/>
                <w:b/>
                <w:color w:val="111827"/>
                <w:sz w:val="21"/>
              </w:rPr>
              <w:t>Objetivo</w:t>
              <w:br/>
              <w:t>Operar el ERP con una pista productiva consistente y repetible.</w:t>
            </w:r>
          </w:p>
        </w:tc>
        <w:tc>
          <w:tcPr>
            <w:tcW w:type="dxa" w:w="3326"/>
            <w:shd w:fill="F8FAFC"/>
            <w:vAlign w:val="center"/>
          </w:tcPr>
          <w:p>
            <w:r/>
            <w:r>
              <w:rPr>
                <w:rFonts w:ascii="DejaVu Sans" w:hAnsi="DejaVu Sans"/>
                <w:b/>
                <w:color w:val="111827"/>
                <w:sz w:val="21"/>
              </w:rPr>
              <w:t>Ámbito</w:t>
              <w:br/>
              <w:t>Docker Compose productivo, observabilidad, backup, seguridad y firma.</w:t>
            </w:r>
          </w:p>
        </w:tc>
        <w:tc>
          <w:tcPr>
            <w:tcW w:type="dxa" w:w="3326"/>
            <w:shd w:fill="F8FAFC"/>
            <w:vAlign w:val="center"/>
          </w:tcPr>
          <w:p>
            <w:r/>
            <w:r>
              <w:rPr>
                <w:rFonts w:ascii="DejaVu Sans" w:hAnsi="DejaVu Sans"/>
                <w:b/>
                <w:color w:val="111827"/>
                <w:sz w:val="21"/>
              </w:rPr>
              <w:t>Entregables</w:t>
              <w:br/>
              <w:t>Proyecto v16, bundles por plataforma y guía de operación.</w:t>
            </w:r>
          </w:p>
        </w:tc>
      </w:tr>
    </w:tbl>
    <w:p>
      <w:r>
        <w:br w:type="page"/>
      </w:r>
    </w:p>
    <w:p>
      <w:pPr>
        <w:pStyle w:val="Heading1"/>
      </w:pPr>
      <w:r>
        <w:t>1. Qué cambia en v16</w:t>
      </w:r>
    </w:p>
    <w:p>
      <w:r>
        <w:rPr>
          <w:b w:val="0"/>
        </w:rPr>
        <w:t xml:space="preserve">La v16 no cambia el alcance farmacéutico del ERP; añade una pista de </w:t>
      </w:r>
      <w:r>
        <w:rPr>
          <w:b/>
          <w:color w:val="4C1D95"/>
        </w:rPr>
        <w:t>producción endurecida</w:t>
      </w:r>
      <w:r>
        <w:rPr>
          <w:color w:val="111827"/>
        </w:rPr>
        <w:t xml:space="preserve"> para desplegar con entrada HTTPS, métricas, auditoría ampliada, backups y evidencia de firma avanzada.</w:t>
      </w:r>
    </w:p>
    <w:p>
      <w:pPr>
        <w:pStyle w:val="ListBullet"/>
        <w:spacing w:after="40"/>
      </w:pPr>
      <w:r>
        <w:t>Caddy como entrada única para HTTPS, /api y /grafana.</w:t>
      </w:r>
    </w:p>
    <w:p>
      <w:pPr>
        <w:pStyle w:val="ListBullet"/>
        <w:spacing w:after="40"/>
      </w:pPr>
      <w:r>
        <w:t>Prometheus + Grafana + Blackbox + mysqld-exporter para observabilidad básica de aplicación, frontend y base de datos.</w:t>
      </w:r>
    </w:p>
    <w:p>
      <w:pPr>
        <w:pStyle w:val="ListBullet"/>
        <w:spacing w:after="40"/>
      </w:pPr>
      <w:r>
        <w:t>Servicio backup-runner para dump lógico, empaquetado de adjuntos y retención.</w:t>
      </w:r>
    </w:p>
    <w:p>
      <w:pPr>
        <w:pStyle w:val="ListBullet"/>
        <w:spacing w:after="40"/>
      </w:pPr>
      <w:r>
        <w:t>Nuevos campos de auditoría: request_id, endpoint, método, HTTP status, severidad, session_hash y duración.</w:t>
      </w:r>
    </w:p>
    <w:p>
      <w:pPr>
        <w:pStyle w:val="ListBullet"/>
        <w:spacing w:after="40"/>
      </w:pPr>
      <w:r>
        <w:t>Perfiles de firma avanzada y firmas por transacción con hash SHA-256 y envoltura HMAC.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3543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topolo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4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Topología de producción propuesta para AkriPharmacy v16.</w:t>
      </w:r>
    </w:p>
    <w:p>
      <w:pPr>
        <w:pStyle w:val="Heading1"/>
      </w:pPr>
      <w:r>
        <w:t>2. Arquitectura y secuencia de arranque</w:t>
      </w:r>
    </w:p>
    <w:p>
      <w:r>
        <w:t>La secuencia recomendada mantiene MariaDB saludable antes de levantar backend; luego el frontend queda detrás de Caddy. Esto minimiza errores transitorios durante el boot y concentra la exposición pública en un único edge HTTPS.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061"/>
        <w:gridCol w:w="4535"/>
      </w:tblGrid>
      <w:tr>
        <w:tc>
          <w:tcPr>
            <w:tcW w:type="dxa" w:w="3326"/>
            <w:shd w:fill="EDE9FE"/>
            <w:vAlign w:val="center"/>
          </w:tcPr>
          <w:p>
            <w:r/>
            <w:r>
              <w:rPr>
                <w:rFonts w:ascii="DejaVu Sans" w:hAnsi="DejaVu Sans"/>
                <w:b/>
                <w:color w:val="4C1D95"/>
                <w:sz w:val="21"/>
              </w:rPr>
              <w:t>Orden</w:t>
            </w:r>
          </w:p>
        </w:tc>
        <w:tc>
          <w:tcPr>
            <w:tcW w:type="dxa" w:w="3326"/>
            <w:shd w:fill="EDE9FE"/>
            <w:vAlign w:val="center"/>
          </w:tcPr>
          <w:p>
            <w:r/>
            <w:r>
              <w:rPr>
                <w:rFonts w:ascii="DejaVu Sans" w:hAnsi="DejaVu Sans"/>
                <w:b/>
                <w:color w:val="4C1D95"/>
                <w:sz w:val="21"/>
              </w:rPr>
              <w:t>Componente</w:t>
            </w:r>
          </w:p>
        </w:tc>
        <w:tc>
          <w:tcPr>
            <w:tcW w:type="dxa" w:w="3326"/>
            <w:shd w:fill="EDE9FE"/>
            <w:vAlign w:val="center"/>
          </w:tcPr>
          <w:p>
            <w:r/>
            <w:r>
              <w:rPr>
                <w:rFonts w:ascii="DejaVu Sans" w:hAnsi="DejaVu Sans"/>
                <w:b/>
                <w:color w:val="4C1D95"/>
                <w:sz w:val="21"/>
              </w:rPr>
              <w:t>Responsabilidad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DejaVu Sans" w:hAnsi="DejaVu Sans"/>
                <w:b/>
                <w:color w:val="111827"/>
                <w:sz w:val="21"/>
              </w:rPr>
              <w:t>1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MariaDB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Persistencia principal; ejecuta migraciones y sirve al ERP.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DejaVu Sans" w:hAnsi="DejaVu Sans"/>
                <w:b/>
                <w:color w:val="111827"/>
                <w:sz w:val="21"/>
              </w:rPr>
              <w:t>2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Backend Node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Expone API, firma, auditoría, trazabilidad y métricas.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DejaVu Sans" w:hAnsi="DejaVu Sans"/>
                <w:b/>
                <w:color w:val="111827"/>
                <w:sz w:val="21"/>
              </w:rPr>
              <w:t>3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Frontend nginx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Sirve la SPA Angular precompilada.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DejaVu Sans" w:hAnsi="DejaVu Sans"/>
                <w:b/>
                <w:color w:val="111827"/>
                <w:sz w:val="21"/>
              </w:rPr>
              <w:t>4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Caddy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Termina TLS y enruta /api y /grafana.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DejaVu Sans" w:hAnsi="DejaVu Sans"/>
                <w:b/>
                <w:color w:val="111827"/>
                <w:sz w:val="21"/>
              </w:rPr>
              <w:t>5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Prometheus/Grafana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Observabilidad y dashboards.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DejaVu Sans" w:hAnsi="DejaVu Sans"/>
                <w:b/>
                <w:color w:val="111827"/>
                <w:sz w:val="21"/>
              </w:rPr>
              <w:t>6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backup-runner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Backups recurrentes y limpieza por retención.</w:t>
            </w:r>
          </w:p>
        </w:tc>
      </w:tr>
    </w:tbl>
    <w:p>
      <w:pPr>
        <w:pStyle w:val="Heading2"/>
      </w:pPr>
      <w:r>
        <w:t>Validación operativa sugerida:</w:t>
      </w:r>
    </w:p>
    <w:p>
      <w:pPr>
        <w:pStyle w:val="ListBullet"/>
      </w:pPr>
      <w:r>
        <w:t>GET /api/ready = 200</w:t>
      </w:r>
    </w:p>
    <w:p>
      <w:pPr>
        <w:pStyle w:val="ListBullet"/>
      </w:pPr>
      <w:r>
        <w:t>GET /api/status/overview = diagnóstico consolidado</w:t>
      </w:r>
    </w:p>
    <w:p>
      <w:pPr>
        <w:pStyle w:val="ListBullet"/>
      </w:pPr>
      <w:r>
        <w:t>GET /metrics = scraping Prometheus</w:t>
      </w:r>
    </w:p>
    <w:p>
      <w:pPr>
        <w:pStyle w:val="ListBullet"/>
      </w:pPr>
      <w:r>
        <w:t>Ingreso a /grafana/ con credenciales administrativas</w:t>
      </w:r>
    </w:p>
    <w:p>
      <w:r>
        <w:br w:type="page"/>
      </w:r>
    </w:p>
    <w:p>
      <w:pPr>
        <w:pStyle w:val="Heading1"/>
      </w:pPr>
      <w:r>
        <w:t>3. Backups automáticos y recuperación</w:t>
      </w:r>
    </w:p>
    <w:p>
      <w:pPr/>
      <w:r>
        <w:t>La v16 incorpora un runner autónomo basado en la imagen de MariaDB. Ejecuta dumps lógicos, empaqueta adjuntos, calcula checksum, escribe el histórico y aplica políticas de retención.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up_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Flujo operacional del backup lógico y de adjuntos.</w:t>
      </w:r>
    </w:p>
    <w:p>
      <w:pPr>
        <w:pStyle w:val="Heading2"/>
      </w:pPr>
      <w:r>
        <w:t>Variables críticas del backup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814"/>
        <w:gridCol w:w="4762"/>
      </w:tblGrid>
      <w:tr>
        <w:tc>
          <w:tcPr>
            <w:tcW w:type="dxa" w:w="3326"/>
            <w:shd w:fill="FFF7ED"/>
            <w:vAlign w:val="center"/>
          </w:tcPr>
          <w:p>
            <w:r/>
            <w:r>
              <w:rPr>
                <w:rFonts w:ascii="DejaVu Sans" w:hAnsi="DejaVu Sans"/>
                <w:b/>
                <w:color w:val="F97316"/>
                <w:sz w:val="21"/>
              </w:rPr>
              <w:t>Variable</w:t>
            </w:r>
          </w:p>
        </w:tc>
        <w:tc>
          <w:tcPr>
            <w:tcW w:type="dxa" w:w="3326"/>
            <w:shd w:fill="FFF7ED"/>
            <w:vAlign w:val="center"/>
          </w:tcPr>
          <w:p>
            <w:r/>
            <w:r>
              <w:rPr>
                <w:rFonts w:ascii="DejaVu Sans" w:hAnsi="DejaVu Sans"/>
                <w:b/>
                <w:color w:val="F97316"/>
                <w:sz w:val="21"/>
              </w:rPr>
              <w:t>Ejemplo</w:t>
            </w:r>
          </w:p>
        </w:tc>
        <w:tc>
          <w:tcPr>
            <w:tcW w:type="dxa" w:w="3326"/>
            <w:shd w:fill="FFF7ED"/>
            <w:vAlign w:val="center"/>
          </w:tcPr>
          <w:p>
            <w:r/>
            <w:r>
              <w:rPr>
                <w:rFonts w:ascii="DejaVu Sans" w:hAnsi="DejaVu Sans"/>
                <w:b/>
                <w:color w:val="F97316"/>
                <w:sz w:val="21"/>
              </w:rPr>
              <w:t>Uso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BACKUP_INTERVAL_HOURS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6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Frecuencia del backup automático.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BACKUP_RETENTION_DAYS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14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Cantidad de días que se conservan dumps y adjuntos.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runtime_backups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volumen Docker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Almacén persistente de respaldos.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backups_ejecuciones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tabla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Histórico de auditoría del proceso.</w:t>
            </w:r>
          </w:p>
        </w:tc>
      </w:tr>
    </w:tbl>
    <w:p>
      <w:pPr>
        <w:pStyle w:val="Heading2"/>
      </w:pPr>
      <w:r>
        <w:t>Procedimiento de recuperación sugerido:</w:t>
      </w:r>
    </w:p>
    <w:p>
      <w:pPr>
        <w:pStyle w:val="ListNumber"/>
      </w:pPr>
      <w:r>
        <w:t>Detener escrituras nuevas o aislar la instancia afectada.</w:t>
      </w:r>
    </w:p>
    <w:p>
      <w:pPr>
        <w:pStyle w:val="ListNumber"/>
      </w:pPr>
      <w:r>
        <w:t>Restaurar el dump SQL comprimido sobre una base limpia o un clon.</w:t>
      </w:r>
    </w:p>
    <w:p>
      <w:pPr>
        <w:pStyle w:val="ListNumber"/>
      </w:pPr>
      <w:r>
        <w:t>Descomprimir el paquete de adjuntos en /app/uploads.</w:t>
      </w:r>
    </w:p>
    <w:p>
      <w:pPr>
        <w:pStyle w:val="ListNumber"/>
      </w:pPr>
      <w:r>
        <w:t>Levantar la pila y comprobar /api/ready, login administrativo y conteos críticos de inventario.</w:t>
      </w:r>
    </w:p>
    <w:p>
      <w:pPr>
        <w:pStyle w:val="ListNumber"/>
      </w:pPr>
      <w:r>
        <w:t>Revisar la tabla backups_ejecuciones y la auditoría para cerrar el incidente.</w:t>
      </w:r>
    </w:p>
    <w:p>
      <w:r>
        <w:br w:type="page"/>
      </w:r>
    </w:p>
    <w:p>
      <w:pPr>
        <w:pStyle w:val="Heading1"/>
      </w:pPr>
      <w:r>
        <w:t>4. Monitoreo y observabilidad</w:t>
      </w:r>
    </w:p>
    <w:p>
      <w:pPr/>
      <w:r>
        <w:t>La capa de monitoreo está pensada para validar la salud mínima del ERP sin introducir dependencias complejas. Prometheus recoge métricas del backend y de exporters; Grafana consume esas series y muestra paneles operativos.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ervability_st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Arquitectura base de observabilidad en la pista productiva v16.</w:t>
      </w:r>
    </w:p>
    <w:p>
      <w:pPr>
        <w:pStyle w:val="Heading2"/>
      </w:pPr>
      <w:r>
        <w:t>Indicadores recomendados en el tablero:</w:t>
      </w:r>
    </w:p>
    <w:p>
      <w:pPr>
        <w:pStyle w:val="ListBullet"/>
      </w:pPr>
      <w:r>
        <w:t>Disponibilidad del frontend y del endpoint /api/ready.</w:t>
      </w:r>
    </w:p>
    <w:p>
      <w:pPr>
        <w:pStyle w:val="ListBullet"/>
      </w:pPr>
      <w:r>
        <w:t>Total de solicitudes HTTP y tasa de 5xx.</w:t>
      </w:r>
    </w:p>
    <w:p>
      <w:pPr>
        <w:pStyle w:val="ListBullet"/>
      </w:pPr>
      <w:r>
        <w:t>Duración promedio por ruta y picos de latencia.</w:t>
      </w:r>
    </w:p>
    <w:p>
      <w:pPr>
        <w:pStyle w:val="ListBullet"/>
      </w:pPr>
      <w:r>
        <w:t>Memoria del proceso Node.</w:t>
      </w:r>
    </w:p>
    <w:p>
      <w:pPr>
        <w:pStyle w:val="ListBullet"/>
      </w:pPr>
      <w:r>
        <w:t>Conexiones activas de MySQL/MariaDB.</w:t>
      </w:r>
    </w:p>
    <w:p>
      <w:pPr>
        <w:pStyle w:val="ListBullet"/>
      </w:pPr>
      <w:r>
        <w:t>Total de auditorías, trazas y firmas registradas.</w:t>
      </w:r>
    </w:p>
    <w:p>
      <w:pPr/>
      <w:r>
        <w:t>El archivo docker-compose.prod.yml deja a Prometheus y Grafana en red interna; si se exponen, deben ir por VPN, allowlist o proxy adicional.</w:t>
      </w:r>
    </w:p>
    <w:p>
      <w:r>
        <w:br w:type="page"/>
      </w:r>
    </w:p>
    <w:p>
      <w:pPr>
        <w:pStyle w:val="Heading1"/>
      </w:pPr>
      <w:r>
        <w:t>5. Auditoría extendida y trazabilidad</w:t>
      </w:r>
    </w:p>
    <w:p>
      <w:pPr/>
      <w:r>
        <w:t>La v16 amplía la evidencia operativa para responder preguntas forenses y regulatorias: quién ejecutó el proceso, desde qué perfil, en qué sede, contra qué endpoint, con qué request_id y con qué resultado HTTP.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825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ability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8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La trazabilidad mantiene hilo entre usuario, perfil, sede, referencia y resultado.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494"/>
        <w:gridCol w:w="4535"/>
      </w:tblGrid>
      <w:tr>
        <w:tc>
          <w:tcPr>
            <w:tcW w:type="dxa" w:w="3326"/>
            <w:shd w:fill="DBEAFE"/>
            <w:vAlign w:val="center"/>
          </w:tcPr>
          <w:p>
            <w:r/>
            <w:r>
              <w:rPr>
                <w:rFonts w:ascii="DejaVu Sans" w:hAnsi="DejaVu Sans"/>
                <w:b/>
                <w:color w:val="3B82F6"/>
                <w:sz w:val="21"/>
              </w:rPr>
              <w:t>Campo</w:t>
            </w:r>
          </w:p>
        </w:tc>
        <w:tc>
          <w:tcPr>
            <w:tcW w:type="dxa" w:w="3326"/>
            <w:shd w:fill="DBEAFE"/>
            <w:vAlign w:val="center"/>
          </w:tcPr>
          <w:p>
            <w:r/>
            <w:r>
              <w:rPr>
                <w:rFonts w:ascii="DejaVu Sans" w:hAnsi="DejaVu Sans"/>
                <w:b/>
                <w:color w:val="3B82F6"/>
                <w:sz w:val="21"/>
              </w:rPr>
              <w:t>Destino</w:t>
            </w:r>
          </w:p>
        </w:tc>
        <w:tc>
          <w:tcPr>
            <w:tcW w:type="dxa" w:w="3326"/>
            <w:shd w:fill="DBEAFE"/>
            <w:vAlign w:val="center"/>
          </w:tcPr>
          <w:p>
            <w:r/>
            <w:r>
              <w:rPr>
                <w:rFonts w:ascii="DejaVu Sans" w:hAnsi="DejaVu Sans"/>
                <w:b/>
                <w:color w:val="3B82F6"/>
                <w:sz w:val="21"/>
              </w:rPr>
              <w:t>Valor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request_id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log_auditoria / trazabilidad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Correlación de punta a punta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session_hash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log_auditoria / trazabilidad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Huella de sesión/token sin exponer el secreto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http_status y duracion_ms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ambas tablas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Resultado técnico del proceso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perfil_nombre e id_sede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ambas tablas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Contexto funcional y organizacional</w:t>
            </w:r>
          </w:p>
        </w:tc>
      </w:tr>
    </w:tbl>
    <w:p>
      <w:pPr/>
      <w:r>
        <w:t>Consulta práctica: usa /api/traceability/processes para revisar procesos concluidos y /api/status/overview para un resumen operacional.</w:t>
      </w:r>
    </w:p>
    <w:p>
      <w:r>
        <w:br w:type="page"/>
      </w:r>
    </w:p>
    <w:p>
      <w:pPr>
        <w:pStyle w:val="Heading1"/>
      </w:pPr>
      <w:r>
        <w:t>6. Firma electrónica avanzada</w:t>
      </w:r>
    </w:p>
    <w:p>
      <w:pPr/>
      <w:r>
        <w:t>La firma avanzada está pensada para cierres de procesos críticos: autorizaciones, validaciones farmacéuticas, evidencias de dispensación o cierres administrativos. No sustituye una infraestructura PKI gubernamental, pero deja una evidencia criptográfica fuerte dentro del ERP.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5234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vanced_signature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Perfil, validación y evidencia técnica de la firma avanzada.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891"/>
        <w:gridCol w:w="4195"/>
      </w:tblGrid>
      <w:tr>
        <w:tc>
          <w:tcPr>
            <w:tcW w:type="dxa" w:w="3326"/>
            <w:shd w:fill="EDE9FE"/>
            <w:vAlign w:val="center"/>
          </w:tcPr>
          <w:p>
            <w:r/>
            <w:r>
              <w:rPr>
                <w:rFonts w:ascii="DejaVu Sans" w:hAnsi="DejaVu Sans"/>
                <w:b/>
                <w:color w:val="4C1D95"/>
                <w:sz w:val="21"/>
              </w:rPr>
              <w:t>Endpoint</w:t>
            </w:r>
          </w:p>
        </w:tc>
        <w:tc>
          <w:tcPr>
            <w:tcW w:type="dxa" w:w="3326"/>
            <w:shd w:fill="EDE9FE"/>
            <w:vAlign w:val="center"/>
          </w:tcPr>
          <w:p>
            <w:r/>
            <w:r>
              <w:rPr>
                <w:rFonts w:ascii="DejaVu Sans" w:hAnsi="DejaVu Sans"/>
                <w:b/>
                <w:color w:val="4C1D95"/>
                <w:sz w:val="21"/>
              </w:rPr>
              <w:t>Uso</w:t>
            </w:r>
          </w:p>
        </w:tc>
        <w:tc>
          <w:tcPr>
            <w:tcW w:type="dxa" w:w="3326"/>
            <w:shd w:fill="EDE9FE"/>
            <w:vAlign w:val="center"/>
          </w:tcPr>
          <w:p>
            <w:r/>
            <w:r>
              <w:rPr>
                <w:rFonts w:ascii="DejaVu Sans" w:hAnsi="DejaVu Sans"/>
                <w:b/>
                <w:color w:val="4C1D95"/>
                <w:sz w:val="21"/>
              </w:rPr>
              <w:t>Respuesta esperada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GET /api/signatures/profile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Consulta perfil de firma del usuario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Alias, emisor, serial, huella, pin_configurado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PUT /api/signatures/profile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Alta o actualización del perfil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Perfil listo para firmar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POST /api/signatures/sign</w:t>
            </w:r>
          </w:p>
        </w:tc>
        <w:tc>
          <w:tcPr>
            <w:tcW w:type="dxa" w:w="2891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Firma un proceso terminado</w:t>
            </w:r>
          </w:p>
        </w:tc>
        <w:tc>
          <w:tcPr>
            <w:tcW w:type="dxa" w:w="4195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id_firma_transaccion, hash y request_id</w:t>
            </w:r>
          </w:p>
        </w:tc>
      </w:tr>
    </w:tbl>
    <w:p>
      <w:pPr>
        <w:pStyle w:val="ListBullet"/>
      </w:pPr>
      <w:r>
        <w:t>Definir un PIN específico para firma, distinto de la clave de sesión.</w:t>
      </w:r>
    </w:p>
    <w:p>
      <w:pPr>
        <w:pStyle w:val="ListBullet"/>
      </w:pPr>
      <w:r>
        <w:t>Usar referencia_tipo y referencia_id cuando la firma cierre una operación de negocio concreta.</w:t>
      </w:r>
    </w:p>
    <w:p>
      <w:pPr>
        <w:pStyle w:val="ListBullet"/>
      </w:pPr>
      <w:r>
        <w:t>Conservar request_id en tickets o soportes externos para correlación rápida.</w:t>
      </w:r>
    </w:p>
    <w:p>
      <w:r>
        <w:br w:type="page"/>
      </w:r>
    </w:p>
    <w:p>
      <w:pPr>
        <w:pStyle w:val="Heading1"/>
      </w:pPr>
      <w:r>
        <w:t>7. Runbook de despliegue por plataforma</w:t>
      </w:r>
    </w:p>
    <w:p>
      <w:pPr/>
      <w:r>
        <w:t>Además del proyecto fuente, la entrega incluye scripts y bundles para macOS, Windows y AWS. Los bundles son de bootstrap y despliegue; no son instaladores nativos firmados del sistema operativo.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061"/>
        <w:gridCol w:w="4309"/>
      </w:tblGrid>
      <w:tr>
        <w:tc>
          <w:tcPr>
            <w:tcW w:type="dxa" w:w="3326"/>
            <w:shd w:fill="FFF7ED"/>
            <w:vAlign w:val="center"/>
          </w:tcPr>
          <w:p>
            <w:r/>
            <w:r>
              <w:rPr>
                <w:rFonts w:ascii="DejaVu Sans" w:hAnsi="DejaVu Sans"/>
                <w:b/>
                <w:color w:val="F97316"/>
                <w:sz w:val="21"/>
              </w:rPr>
              <w:t>Plataforma</w:t>
            </w:r>
          </w:p>
        </w:tc>
        <w:tc>
          <w:tcPr>
            <w:tcW w:type="dxa" w:w="3326"/>
            <w:shd w:fill="FFF7ED"/>
            <w:vAlign w:val="center"/>
          </w:tcPr>
          <w:p>
            <w:r/>
            <w:r>
              <w:rPr>
                <w:rFonts w:ascii="DejaVu Sans" w:hAnsi="DejaVu Sans"/>
                <w:b/>
                <w:color w:val="F97316"/>
                <w:sz w:val="21"/>
              </w:rPr>
              <w:t>Archivo</w:t>
            </w:r>
          </w:p>
        </w:tc>
        <w:tc>
          <w:tcPr>
            <w:tcW w:type="dxa" w:w="3326"/>
            <w:shd w:fill="FFF7ED"/>
            <w:vAlign w:val="center"/>
          </w:tcPr>
          <w:p>
            <w:r/>
            <w:r>
              <w:rPr>
                <w:rFonts w:ascii="DejaVu Sans" w:hAnsi="DejaVu Sans"/>
                <w:b/>
                <w:color w:val="F97316"/>
                <w:sz w:val="21"/>
              </w:rPr>
              <w:t>Uso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macOS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AkriPharmacy_macOS_production.command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Crea .env.production si falta y levanta docker-compose.prod.yml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Windows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AkriPharmacy_windows_production.ps1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Bootstrap equivalente para PowerShell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AWS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AkriPharmacy_aws_production.sh + README-v16.md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DejaVu Sans" w:hAnsi="DejaVu Sans"/>
                <w:b w:val="0"/>
                <w:color w:val="111827"/>
                <w:sz w:val="21"/>
              </w:rPr>
              <w:t>Referencia para ECR/ECS/RDS/EFS y observabilidad administrada</w:t>
            </w:r>
          </w:p>
        </w:tc>
      </w:tr>
    </w:tbl>
    <w:p>
      <w:pPr>
        <w:pStyle w:val="Heading2"/>
      </w:pPr>
      <w:r>
        <w:t>Checklist previo a producción:</w:t>
      </w:r>
    </w:p>
    <w:p>
      <w:pPr>
        <w:pStyle w:val="ListBullet"/>
      </w:pPr>
      <w:r>
        <w:t>Definir APP_DOMAIN y correo para certificados.</w:t>
      </w:r>
    </w:p>
    <w:p>
      <w:pPr>
        <w:pStyle w:val="ListBullet"/>
      </w:pPr>
      <w:r>
        <w:t>Rotar todas las contraseñas y secretos de ejemplo.</w:t>
      </w:r>
    </w:p>
    <w:p>
      <w:pPr>
        <w:pStyle w:val="ListBullet"/>
      </w:pPr>
      <w:r>
        <w:t>Aplicar migraciones 10 y 11 de v16.</w:t>
      </w:r>
    </w:p>
    <w:p>
      <w:pPr>
        <w:pStyle w:val="ListBullet"/>
      </w:pPr>
      <w:r>
        <w:t>Verificar /api/ready, /api/status/overview y /metrics.</w:t>
      </w:r>
    </w:p>
    <w:p>
      <w:pPr>
        <w:pStyle w:val="ListBullet"/>
      </w:pPr>
      <w:r>
        <w:t>Comprobar que el backup-runner deja un registro exitoso.</w:t>
      </w:r>
    </w:p>
    <w:p>
      <w:pPr>
        <w:pStyle w:val="Heading1"/>
      </w:pPr>
      <w:r>
        <w:t>8. Continuidad funcional con la capa farmacéutica</w:t>
      </w:r>
    </w:p>
    <w:p>
      <w:pPr/>
      <w:r>
        <w:t>La pista de producción v16 se monta sobre la operación ya construida en AkriPharmacy: inventario multisede, solicitud/dispensación, cadena de frío, reportes, imágenes y gestión por perfiles. La siguiente vista simulada recuerda el frente funcional que sigue vigente.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3792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multisite_inven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9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La capa productiva v16 protege y opera el mismo frente funcional del ERP farmacéutico.</w:t>
      </w:r>
    </w:p>
    <w:p>
      <w:pPr>
        <w:pStyle w:val="Heading2"/>
      </w:pPr>
      <w:r>
        <w:t>Cierre operativo:</w:t>
      </w:r>
    </w:p>
    <w:p>
      <w:pPr>
        <w:pStyle w:val="ListBullet"/>
      </w:pPr>
      <w:r>
        <w:t>El usuario accede a la misma aplicación; la diferencia está en cómo se despliega, monitorea y audita.</w:t>
      </w:r>
    </w:p>
    <w:p>
      <w:pPr>
        <w:pStyle w:val="ListBullet"/>
      </w:pPr>
      <w:r>
        <w:t>Las firmas avanzadas y la trazabilidad enriquecida permiten cerrar procesos con evidencia técnica más robusta.</w:t>
      </w:r>
    </w:p>
    <w:p>
      <w:pPr>
        <w:pStyle w:val="ListBullet"/>
      </w:pPr>
      <w:r>
        <w:t>La guía debe convivir con los procedimientos internos de TI, seguridad y regulación de la organización.</w:t>
      </w:r>
    </w:p>
    <w:sectPr w:rsidR="00FC693F" w:rsidRPr="0006063C" w:rsidSect="00034616">
      <w:footerReference w:type="default" r:id="rId16"/>
      <w:pgSz w:w="11906" w:h="16838"/>
      <w:pgMar w:top="102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8"/>
      </w:rPr>
      <w:t>AkriPharmacy v16 - Guía de producción y operación segura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4C1D9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F9731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3B82F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6D28D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