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CME Group Market Data License Agreement</w:t>
      </w:r>
    </w:p>
    <w:p>
      <w:r>
        <w:t>This Agreement sets forth the terms and conditions under which CME Group provides market data.</w:t>
      </w:r>
    </w:p>
    <w:p>
      <w:pPr>
        <w:pStyle w:val="Heading1"/>
      </w:pPr>
      <w:r>
        <w:t>ARTICLE I - DEFINITIONS</w:t>
      </w:r>
    </w:p>
    <w:p>
      <w:r>
        <w:t>'Distributor' means any entity that receives and redistributes CME Market Data.</w:t>
      </w:r>
    </w:p>
    <w:p>
      <w:r>
        <w:t>'Subscriber' means a natural person who receives Market Data.</w:t>
      </w:r>
    </w:p>
    <w:p>
      <w:pPr>
        <w:pStyle w:val="Heading1"/>
      </w:pPr>
      <w:r>
        <w:t>ARTICLE II - FEE SCHEDULE</w:t>
      </w:r>
    </w:p>
    <w:p>
      <w:r>
        <w:t>The following fees shall apply: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Annual Fee</w:t>
            </w:r>
          </w:p>
        </w:tc>
      </w:tr>
      <w:tr>
        <w:tc>
          <w:tcPr>
            <w:tcW w:type="dxa" w:w="2880"/>
          </w:tcPr>
          <w:p>
            <w:r>
              <w:t>Real-time Quotes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$5,000</w:t>
            </w:r>
          </w:p>
        </w:tc>
      </w:tr>
      <w:tr>
        <w:tc>
          <w:tcPr>
            <w:tcW w:type="dxa" w:w="2880"/>
          </w:tcPr>
          <w:p>
            <w:r>
              <w:t>Delayed Data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</w:tr>
      <w:tr>
        <w:tc>
          <w:tcPr>
            <w:tcW w:type="dxa" w:w="2880"/>
          </w:tcPr>
          <w:p>
            <w:r>
              <w:t>Historical Data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</w:tbl>
    <w:p>
      <w:pPr>
        <w:pStyle w:val="Heading1"/>
      </w:pPr>
      <w:r>
        <w:t>ARTICLE III - TERMINATION</w:t>
      </w:r>
    </w:p>
    <w:p>
      <w:r>
        <w:t>Either party may terminate this Agreement with 90 days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