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97D"/>
          <w:sz w:val="48"/>
        </w:rPr>
        <w:t>MODÈLE DE RAPPORT DE PERFORMANCE</w:t>
      </w:r>
    </w:p>
    <w:p>
      <w:pPr>
        <w:pStyle w:val="Subtitle"/>
      </w:pPr>
      <w:r>
        <w:rPr>
          <w:rFonts w:ascii="Calibri" w:hAnsi="Calibri"/>
          <w:i/>
          <w:color w:val="595959"/>
          <w:sz w:val="24"/>
        </w:rPr>
        <w:t>Charte graphique standard des rapports d'analyse</w:t>
      </w:r>
    </w:p>
    <w:p/>
    <w:p>
      <w:pPr>
        <w:pStyle w:val="Heading1"/>
      </w:pPr>
      <w:r>
        <w:rPr>
          <w:rFonts w:ascii="Calibri" w:hAnsi="Calibri"/>
          <w:color w:val="1F497D"/>
        </w:rPr>
        <w:t>1. Synthèse Exécutive</w:t>
      </w:r>
    </w:p>
    <w:p>
      <w:r>
        <w:rPr>
          <w:rFonts w:ascii="Calibri" w:hAnsi="Calibri"/>
          <w:sz w:val="22"/>
        </w:rPr>
        <w:t>Ce paragraphe illustre la typographie du texte courant. Les rapports générés doivent respecter cette structure, avec une mise en page aérée et professionnelle.</w:t>
      </w:r>
    </w:p>
    <w:p>
      <w:pPr>
        <w:pStyle w:val="Heading1"/>
      </w:pPr>
      <w:r>
        <w:rPr>
          <w:rFonts w:ascii="Calibri" w:hAnsi="Calibri"/>
          <w:color w:val="1F497D"/>
        </w:rPr>
        <w:t>2. Indicateurs Clés et Chiffres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1F497D"/>
              </w:rPr>
              <w:t>Indicateur</w:t>
            </w:r>
          </w:p>
        </w:tc>
        <w:tc>
          <w:tcPr>
            <w:tcW w:type="dxa" w:w="3120"/>
          </w:tcPr>
          <w:p>
            <w:r>
              <w:rPr>
                <w:b/>
                <w:color w:val="1F497D"/>
              </w:rPr>
              <w:t>Période</w:t>
            </w:r>
          </w:p>
        </w:tc>
        <w:tc>
          <w:tcPr>
            <w:tcW w:type="dxa" w:w="3120"/>
          </w:tcPr>
          <w:p>
            <w:r>
              <w:rPr>
                <w:b/>
                <w:color w:val="1F497D"/>
              </w:rPr>
              <w:t>Objectif</w:t>
            </w:r>
          </w:p>
        </w:tc>
      </w:tr>
      <w:tr>
        <w:tc>
          <w:tcPr>
            <w:tcW w:type="dxa" w:w="3120"/>
          </w:tcPr>
          <w:p>
            <w:r>
              <w:t>Volume des ventes</w:t>
            </w:r>
          </w:p>
        </w:tc>
        <w:tc>
          <w:tcPr>
            <w:tcW w:type="dxa" w:w="3120"/>
          </w:tcPr>
          <w:p>
            <w:r>
              <w:t>Mensuel</w:t>
            </w:r>
          </w:p>
        </w:tc>
        <w:tc>
          <w:tcPr>
            <w:tcW w:type="dxa" w:w="3120"/>
          </w:tcPr>
          <w:p>
            <w:r>
              <w:t>Atteint</w:t>
            </w:r>
          </w:p>
        </w:tc>
      </w:tr>
      <w:tr>
        <w:tc>
          <w:tcPr>
            <w:tcW w:type="dxa" w:w="3120"/>
          </w:tcPr>
          <w:p>
            <w:r>
              <w:t>Taux de conversion</w:t>
            </w:r>
          </w:p>
        </w:tc>
        <w:tc>
          <w:tcPr>
            <w:tcW w:type="dxa" w:w="3120"/>
          </w:tcPr>
          <w:p>
            <w:r>
              <w:t>Annuel</w:t>
            </w:r>
          </w:p>
        </w:tc>
        <w:tc>
          <w:tcPr>
            <w:tcW w:type="dxa" w:w="3120"/>
          </w:tcPr>
          <w:p>
            <w:r>
              <w:t>En progression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0A0A0"/>
        <w:sz w:val="16"/>
      </w:rPr>
      <w:t>Confidentiel - Usage Interne Uniquement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ENTREPRISE HORIZON | DIRECTION COMMERCIALE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