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A0FC8" w14:textId="7828941E" w:rsidR="0034429B" w:rsidRPr="00032B47" w:rsidRDefault="0034429B" w:rsidP="0034429B">
      <w:pPr>
        <w:pStyle w:val="Title"/>
        <w:rPr>
          <w:sz w:val="48"/>
          <w:szCs w:val="48"/>
          <w:lang w:eastAsia="zh-CN"/>
        </w:rPr>
      </w:pPr>
      <w:r w:rsidRPr="00032B47">
        <w:rPr>
          <w:sz w:val="48"/>
          <w:szCs w:val="48"/>
        </w:rPr>
        <w:t xml:space="preserve">Scope and sequence: </w:t>
      </w:r>
      <w:r w:rsidRPr="00032B47">
        <w:rPr>
          <w:sz w:val="48"/>
          <w:szCs w:val="48"/>
          <w:lang w:eastAsia="zh-CN"/>
        </w:rPr>
        <w:t xml:space="preserve">Stage 6 Music </w:t>
      </w:r>
      <w:r w:rsidR="00AA38B4" w:rsidRPr="00032B47">
        <w:rPr>
          <w:sz w:val="48"/>
          <w:szCs w:val="48"/>
          <w:lang w:eastAsia="zh-CN"/>
        </w:rPr>
        <w:t xml:space="preserve">1 </w:t>
      </w:r>
      <w:r w:rsidR="00C5703D">
        <w:rPr>
          <w:sz w:val="48"/>
          <w:szCs w:val="48"/>
          <w:lang w:eastAsia="zh-CN"/>
        </w:rPr>
        <w:br/>
      </w:r>
      <w:r w:rsidRPr="00032B47">
        <w:rPr>
          <w:sz w:val="48"/>
          <w:szCs w:val="48"/>
          <w:lang w:eastAsia="zh-CN"/>
        </w:rPr>
        <w:t>Preliminary Course</w:t>
      </w:r>
    </w:p>
    <w:tbl>
      <w:tblPr>
        <w:tblStyle w:val="Tableheader"/>
        <w:tblpPr w:leftFromText="180" w:rightFromText="180" w:vertAnchor="text" w:tblpY="19"/>
        <w:tblW w:w="9464" w:type="dxa"/>
        <w:tblLook w:val="04A0" w:firstRow="1" w:lastRow="0" w:firstColumn="1" w:lastColumn="0" w:noHBand="0" w:noVBand="1"/>
      </w:tblPr>
      <w:tblGrid>
        <w:gridCol w:w="2235"/>
        <w:gridCol w:w="2409"/>
        <w:gridCol w:w="2410"/>
        <w:gridCol w:w="2410"/>
      </w:tblGrid>
      <w:tr w:rsidR="00AA3B25" w:rsidRPr="00032B47" w14:paraId="2D29B74D" w14:textId="77777777" w:rsidTr="0034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tcBorders>
              <w:bottom w:val="single" w:sz="4" w:space="0" w:color="auto"/>
            </w:tcBorders>
          </w:tcPr>
          <w:p w14:paraId="4C2C407A" w14:textId="3B97A58B" w:rsidR="0034429B" w:rsidRPr="00032B47" w:rsidRDefault="0034429B" w:rsidP="00AA24CB">
            <w:pPr>
              <w:pStyle w:val="List"/>
              <w:spacing w:before="192" w:after="192"/>
              <w:rPr>
                <w:b w:val="0"/>
              </w:rPr>
            </w:pPr>
            <w:r w:rsidRPr="00032B47">
              <w:rPr>
                <w:b w:val="0"/>
              </w:rPr>
              <w:t>Stage 6</w:t>
            </w:r>
          </w:p>
          <w:p w14:paraId="58B25379" w14:textId="3A62A518" w:rsidR="0034429B" w:rsidRPr="00032B47" w:rsidRDefault="0034429B" w:rsidP="00AA24CB">
            <w:pPr>
              <w:pStyle w:val="List"/>
              <w:spacing w:before="192" w:after="192"/>
              <w:rPr>
                <w:b w:val="0"/>
                <w:sz w:val="36"/>
                <w:szCs w:val="36"/>
              </w:rPr>
            </w:pPr>
            <w:r w:rsidRPr="00032B47">
              <w:rPr>
                <w:b w:val="0"/>
              </w:rPr>
              <w:t xml:space="preserve">Music </w:t>
            </w:r>
            <w:r w:rsidR="00AA38B4" w:rsidRPr="00032B47">
              <w:rPr>
                <w:b w:val="0"/>
              </w:rPr>
              <w:t>1</w:t>
            </w:r>
          </w:p>
        </w:tc>
        <w:tc>
          <w:tcPr>
            <w:tcW w:w="2409" w:type="dxa"/>
          </w:tcPr>
          <w:p w14:paraId="4C3929EA" w14:textId="77777777" w:rsidR="0034429B" w:rsidRPr="00032B47" w:rsidRDefault="0034429B" w:rsidP="00AA24CB">
            <w:pPr>
              <w:pStyle w:val="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410" w:type="dxa"/>
          </w:tcPr>
          <w:p w14:paraId="4809D17F" w14:textId="77777777" w:rsidR="0034429B" w:rsidRPr="00032B47" w:rsidRDefault="0034429B" w:rsidP="00AA24CB">
            <w:pPr>
              <w:pStyle w:val="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410" w:type="dxa"/>
          </w:tcPr>
          <w:p w14:paraId="3BB6C6A9" w14:textId="77777777" w:rsidR="0034429B" w:rsidRPr="00032B47" w:rsidRDefault="0034429B" w:rsidP="00AA24CB">
            <w:pPr>
              <w:pStyle w:val="Li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4429B" w:rsidRPr="00032B47" w14:paraId="7614C1FA" w14:textId="77777777" w:rsidTr="0034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69D020" w14:textId="77777777" w:rsidR="0034429B" w:rsidRPr="00032B47" w:rsidRDefault="0034429B" w:rsidP="00AA24CB">
            <w:pPr>
              <w:pStyle w:val="List"/>
              <w:rPr>
                <w:b w:val="0"/>
              </w:rPr>
            </w:pPr>
            <w:r w:rsidRPr="00032B47">
              <w:rPr>
                <w:b w:val="0"/>
              </w:rPr>
              <w:t>Duration</w:t>
            </w:r>
          </w:p>
        </w:tc>
        <w:tc>
          <w:tcPr>
            <w:tcW w:w="2409" w:type="dxa"/>
          </w:tcPr>
          <w:p w14:paraId="5A623C95" w14:textId="5AF0DDEF" w:rsidR="0034429B" w:rsidRPr="00032B47" w:rsidRDefault="00032B47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10 Weeks</w:t>
            </w:r>
          </w:p>
        </w:tc>
        <w:tc>
          <w:tcPr>
            <w:tcW w:w="2410" w:type="dxa"/>
          </w:tcPr>
          <w:p w14:paraId="05BAFB9F" w14:textId="7305B713" w:rsidR="0034429B" w:rsidRPr="00032B47" w:rsidRDefault="00032B47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10 Weeks</w:t>
            </w:r>
          </w:p>
        </w:tc>
        <w:tc>
          <w:tcPr>
            <w:tcW w:w="2410" w:type="dxa"/>
          </w:tcPr>
          <w:p w14:paraId="7153ADEB" w14:textId="3FA390D7" w:rsidR="0034429B" w:rsidRPr="00032B47" w:rsidRDefault="00032B47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10 Weeks</w:t>
            </w:r>
          </w:p>
        </w:tc>
      </w:tr>
      <w:tr w:rsidR="0034429B" w:rsidRPr="00032B47" w14:paraId="0D6F7056" w14:textId="77777777" w:rsidTr="00344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628C28" w14:textId="03595C46" w:rsidR="0034429B" w:rsidRPr="00032B47" w:rsidRDefault="0034429B" w:rsidP="00AA24CB">
            <w:pPr>
              <w:pStyle w:val="List"/>
              <w:rPr>
                <w:b w:val="0"/>
              </w:rPr>
            </w:pPr>
            <w:r w:rsidRPr="00032B47">
              <w:rPr>
                <w:b w:val="0"/>
              </w:rPr>
              <w:t xml:space="preserve">Term                </w:t>
            </w:r>
          </w:p>
        </w:tc>
        <w:tc>
          <w:tcPr>
            <w:tcW w:w="2409" w:type="dxa"/>
          </w:tcPr>
          <w:p w14:paraId="00A7A996" w14:textId="77777777" w:rsidR="0034429B" w:rsidRPr="00032B47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One</w:t>
            </w:r>
          </w:p>
        </w:tc>
        <w:tc>
          <w:tcPr>
            <w:tcW w:w="2410" w:type="dxa"/>
          </w:tcPr>
          <w:p w14:paraId="3B2184CF" w14:textId="77777777" w:rsidR="0034429B" w:rsidRPr="00032B47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Two</w:t>
            </w:r>
          </w:p>
        </w:tc>
        <w:tc>
          <w:tcPr>
            <w:tcW w:w="2410" w:type="dxa"/>
          </w:tcPr>
          <w:p w14:paraId="0FF0BE36" w14:textId="77777777" w:rsidR="0034429B" w:rsidRPr="00032B47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Three</w:t>
            </w:r>
          </w:p>
        </w:tc>
      </w:tr>
      <w:tr w:rsidR="0034429B" w:rsidRPr="00032B47" w14:paraId="06F84121" w14:textId="77777777" w:rsidTr="00032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top"/>
          </w:tcPr>
          <w:p w14:paraId="07355BB4" w14:textId="77777777" w:rsidR="0034429B" w:rsidRPr="00FA5D53" w:rsidRDefault="0034429B" w:rsidP="00032B47">
            <w:pPr>
              <w:pStyle w:val="List"/>
              <w:rPr>
                <w:bCs/>
              </w:rPr>
            </w:pPr>
            <w:r w:rsidRPr="00FA5D53">
              <w:rPr>
                <w:bCs/>
              </w:rPr>
              <w:t>Unit overview</w:t>
            </w:r>
          </w:p>
        </w:tc>
        <w:tc>
          <w:tcPr>
            <w:tcW w:w="2409" w:type="dxa"/>
            <w:vAlign w:val="top"/>
          </w:tcPr>
          <w:p w14:paraId="45D787B3" w14:textId="651217FD" w:rsidR="00B1078A" w:rsidRPr="00B1078A" w:rsidRDefault="00B1078A" w:rsidP="00032B47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078A">
              <w:rPr>
                <w:b/>
                <w:bCs/>
              </w:rPr>
              <w:t>Music for Screen</w:t>
            </w:r>
          </w:p>
          <w:p w14:paraId="618D8D48" w14:textId="766B53F3" w:rsidR="0034429B" w:rsidRPr="00032B47" w:rsidRDefault="00AA3B25" w:rsidP="00032B47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br/>
            </w:r>
            <w:r w:rsidR="00B1078A">
              <w:t>This unit will allow s</w:t>
            </w:r>
            <w:r w:rsidR="009A1096" w:rsidRPr="00032B47">
              <w:t xml:space="preserve">tudents </w:t>
            </w:r>
            <w:r w:rsidR="00B1078A">
              <w:t>to</w:t>
            </w:r>
            <w:r w:rsidR="00032B47" w:rsidRPr="00032B47">
              <w:t xml:space="preserve"> </w:t>
            </w:r>
            <w:r w:rsidR="009A1096" w:rsidRPr="00032B47">
              <w:t xml:space="preserve">explore how music </w:t>
            </w:r>
            <w:r w:rsidR="00032B47" w:rsidRPr="00032B47">
              <w:t xml:space="preserve">can </w:t>
            </w:r>
            <w:r w:rsidR="009A1096" w:rsidRPr="00032B47">
              <w:t>enhance storytelling in film, TV, and</w:t>
            </w:r>
            <w:r w:rsidR="00032B47" w:rsidRPr="00032B47">
              <w:t xml:space="preserve"> video</w:t>
            </w:r>
            <w:r w:rsidR="009A1096" w:rsidRPr="00032B47">
              <w:t xml:space="preserve"> games. They</w:t>
            </w:r>
            <w:r w:rsidR="00032B47" w:rsidRPr="00032B47">
              <w:t xml:space="preserve"> will</w:t>
            </w:r>
            <w:r w:rsidR="009A1096" w:rsidRPr="00032B47">
              <w:t xml:space="preserve"> learn to identify </w:t>
            </w:r>
            <w:r w:rsidR="00032B47" w:rsidRPr="00032B47">
              <w:t xml:space="preserve">various </w:t>
            </w:r>
            <w:r w:rsidR="009A1096" w:rsidRPr="00032B47">
              <w:t xml:space="preserve">music concepts </w:t>
            </w:r>
            <w:r w:rsidR="00032B47" w:rsidRPr="00032B47">
              <w:t>including</w:t>
            </w:r>
            <w:r w:rsidR="009A1096" w:rsidRPr="00032B47">
              <w:t xml:space="preserve"> </w:t>
            </w:r>
            <w:r w:rsidR="009A1096" w:rsidRPr="00032B47">
              <w:rPr>
                <w:rStyle w:val="Strong"/>
                <w:b w:val="0"/>
                <w:bCs w:val="0"/>
              </w:rPr>
              <w:t>texture</w:t>
            </w:r>
            <w:r w:rsidR="00032B47" w:rsidRPr="00032B47">
              <w:rPr>
                <w:rStyle w:val="Strong"/>
                <w:b w:val="0"/>
                <w:bCs w:val="0"/>
              </w:rPr>
              <w:t>/timbre</w:t>
            </w:r>
            <w:r w:rsidR="009A1096" w:rsidRPr="00032B47">
              <w:t xml:space="preserve">, </w:t>
            </w:r>
            <w:r w:rsidR="009A1096" w:rsidRPr="00032B47">
              <w:rPr>
                <w:rStyle w:val="Strong"/>
                <w:b w:val="0"/>
                <w:bCs w:val="0"/>
              </w:rPr>
              <w:t>pitch</w:t>
            </w:r>
            <w:r w:rsidR="009A1096" w:rsidRPr="00032B47">
              <w:t xml:space="preserve">, and </w:t>
            </w:r>
            <w:r w:rsidR="009A1096" w:rsidRPr="00032B47">
              <w:rPr>
                <w:rStyle w:val="Strong"/>
                <w:b w:val="0"/>
                <w:bCs w:val="0"/>
              </w:rPr>
              <w:t>duration</w:t>
            </w:r>
            <w:r w:rsidR="00032B47" w:rsidRPr="00032B47">
              <w:rPr>
                <w:rStyle w:val="Strong"/>
                <w:b w:val="0"/>
                <w:bCs w:val="0"/>
              </w:rPr>
              <w:t xml:space="preserve"> in</w:t>
            </w:r>
            <w:r w:rsidR="009A1096" w:rsidRPr="00032B47">
              <w:t xml:space="preserve"> </w:t>
            </w:r>
            <w:r w:rsidR="00032B47">
              <w:t>the context of popular film scores. The</w:t>
            </w:r>
            <w:r>
              <w:t>y</w:t>
            </w:r>
            <w:r w:rsidR="00032B47">
              <w:t xml:space="preserve"> will apply this knowledge </w:t>
            </w:r>
            <w:r>
              <w:t>to</w:t>
            </w:r>
            <w:r w:rsidR="00032B47">
              <w:t xml:space="preserve"> </w:t>
            </w:r>
            <w:r w:rsidR="009A1096" w:rsidRPr="00032B47">
              <w:t>compos</w:t>
            </w:r>
            <w:r w:rsidR="00032B47">
              <w:t>e</w:t>
            </w:r>
            <w:r w:rsidR="009A1096" w:rsidRPr="00032B47">
              <w:t xml:space="preserve"> </w:t>
            </w:r>
            <w:r w:rsidR="00032B47">
              <w:t xml:space="preserve">a </w:t>
            </w:r>
            <w:r w:rsidR="009A1096" w:rsidRPr="00032B47">
              <w:t>short soundtrack</w:t>
            </w:r>
            <w:r w:rsidR="00032B47">
              <w:t xml:space="preserve"> to a visual stimulus,</w:t>
            </w:r>
            <w:r w:rsidR="009A1096" w:rsidRPr="00032B47">
              <w:t xml:space="preserve"> </w:t>
            </w:r>
            <w:r w:rsidR="00032B47">
              <w:t>using a DAW.</w:t>
            </w:r>
            <w:r w:rsidR="009A1096" w:rsidRPr="00032B47">
              <w:t xml:space="preserve"> This unit </w:t>
            </w:r>
            <w:r w:rsidR="00032B47">
              <w:t xml:space="preserve">will </w:t>
            </w:r>
            <w:r w:rsidR="009A1096" w:rsidRPr="00032B47">
              <w:t xml:space="preserve">introduce compositional and listening skills </w:t>
            </w:r>
            <w:r w:rsidR="00032B47">
              <w:t>and provide the preliminary</w:t>
            </w:r>
            <w:r w:rsidR="009A1096" w:rsidRPr="00032B47">
              <w:t xml:space="preserve"> understanding </w:t>
            </w:r>
            <w:r w:rsidR="00032B47">
              <w:t xml:space="preserve">for the use of </w:t>
            </w:r>
            <w:r w:rsidR="009A1096" w:rsidRPr="00032B47">
              <w:t>moti</w:t>
            </w:r>
            <w:r w:rsidR="00032B47">
              <w:t>fs, dissonance, tempo</w:t>
            </w:r>
            <w:r w:rsidR="009A1096" w:rsidRPr="00032B47">
              <w:t xml:space="preserve"> development</w:t>
            </w:r>
            <w:r w:rsidR="00032B47">
              <w:t xml:space="preserve"> and timbre</w:t>
            </w:r>
            <w:r>
              <w:t xml:space="preserve">, that can be extended in the following </w:t>
            </w:r>
            <w:r w:rsidR="00032B47">
              <w:t xml:space="preserve">units of work. </w:t>
            </w:r>
            <w:r w:rsidR="009A1096" w:rsidRPr="00032B47">
              <w:t xml:space="preserve"> </w:t>
            </w:r>
          </w:p>
        </w:tc>
        <w:tc>
          <w:tcPr>
            <w:tcW w:w="2410" w:type="dxa"/>
            <w:vAlign w:val="top"/>
          </w:tcPr>
          <w:p w14:paraId="1F09754C" w14:textId="0F1B3E35" w:rsidR="00B1078A" w:rsidRPr="00B1078A" w:rsidRDefault="00B1078A" w:rsidP="00032B47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078A">
              <w:rPr>
                <w:b/>
                <w:bCs/>
              </w:rPr>
              <w:t>Music of the 20</w:t>
            </w:r>
            <w:r w:rsidRPr="00B1078A">
              <w:rPr>
                <w:b/>
                <w:bCs/>
                <w:vertAlign w:val="superscript"/>
              </w:rPr>
              <w:t>th</w:t>
            </w:r>
            <w:r w:rsidRPr="00B1078A">
              <w:rPr>
                <w:b/>
                <w:bCs/>
              </w:rPr>
              <w:t xml:space="preserve"> and 21</w:t>
            </w:r>
            <w:r w:rsidRPr="00B1078A">
              <w:rPr>
                <w:b/>
                <w:bCs/>
                <w:vertAlign w:val="superscript"/>
              </w:rPr>
              <w:t>st</w:t>
            </w:r>
            <w:r w:rsidRPr="00B1078A">
              <w:rPr>
                <w:b/>
                <w:bCs/>
              </w:rPr>
              <w:t xml:space="preserve"> Century</w:t>
            </w:r>
          </w:p>
          <w:p w14:paraId="0E720084" w14:textId="6207EB38" w:rsidR="0034429B" w:rsidRPr="00032B47" w:rsidRDefault="009A1096" w:rsidP="00032B47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t>This unit</w:t>
            </w:r>
            <w:r w:rsidR="00B1078A">
              <w:t xml:space="preserve"> will</w:t>
            </w:r>
            <w:r w:rsidRPr="00032B47">
              <w:t xml:space="preserve"> examine</w:t>
            </w:r>
            <w:r w:rsidR="00B1078A">
              <w:t xml:space="preserve"> art music in </w:t>
            </w:r>
            <w:r w:rsidRPr="00032B47">
              <w:t>the 20th and 21st centuries</w:t>
            </w:r>
            <w:r w:rsidR="00B1078A">
              <w:t xml:space="preserve">. It will expand and extend ideas around texture, pitch, motivic development in the context of </w:t>
            </w:r>
            <w:r w:rsidR="00AA3B25">
              <w:t xml:space="preserve">composers such as </w:t>
            </w:r>
            <w:r w:rsidRPr="00032B47">
              <w:t>Stravinsky, Schoenberg, Cage, a</w:t>
            </w:r>
            <w:r w:rsidR="00B1078A">
              <w:t xml:space="preserve">s well as Australian composers such as </w:t>
            </w:r>
            <w:r w:rsidR="00B1078A" w:rsidRPr="00032B47">
              <w:t>Sculthorpe</w:t>
            </w:r>
            <w:r w:rsidR="00B1078A">
              <w:t>, Kats-Chernin and Vine</w:t>
            </w:r>
            <w:r w:rsidRPr="00032B47">
              <w:t xml:space="preserve">. </w:t>
            </w:r>
            <w:r w:rsidR="00B1078A">
              <w:t>Th</w:t>
            </w:r>
            <w:r w:rsidR="00AA3B25">
              <w:t>ose</w:t>
            </w:r>
            <w:r w:rsidR="00B1078A">
              <w:t xml:space="preserve"> techniques used by these composers which have influenced soundtrack composers will be examined. </w:t>
            </w:r>
            <w:r w:rsidRPr="00032B47">
              <w:t xml:space="preserve">Students </w:t>
            </w:r>
            <w:r w:rsidR="00B1078A">
              <w:t>will further develop their understanding of</w:t>
            </w:r>
            <w:r w:rsidRPr="00032B47">
              <w:t xml:space="preserve"> </w:t>
            </w:r>
            <w:r w:rsidRPr="00032B47">
              <w:rPr>
                <w:rStyle w:val="Strong"/>
                <w:b w:val="0"/>
                <w:bCs w:val="0"/>
              </w:rPr>
              <w:t>tonalit</w:t>
            </w:r>
            <w:r w:rsidR="00B1078A">
              <w:rPr>
                <w:rStyle w:val="Strong"/>
                <w:b w:val="0"/>
                <w:bCs w:val="0"/>
              </w:rPr>
              <w:t>y through the study of atonality and non-standard tonalities (i.e. whole-tone scale)</w:t>
            </w:r>
            <w:r w:rsidR="00B1078A">
              <w:rPr>
                <w:rStyle w:val="Strong"/>
              </w:rPr>
              <w:t xml:space="preserve">. </w:t>
            </w:r>
            <w:r w:rsidR="00B1078A">
              <w:rPr>
                <w:rStyle w:val="Strong"/>
                <w:b w:val="0"/>
                <w:bCs w:val="0"/>
              </w:rPr>
              <w:t xml:space="preserve">Compositional </w:t>
            </w:r>
            <w:r w:rsidR="00B1078A">
              <w:rPr>
                <w:rStyle w:val="Strong"/>
                <w:b w:val="0"/>
                <w:bCs w:val="0"/>
              </w:rPr>
              <w:lastRenderedPageBreak/>
              <w:t xml:space="preserve">techniques using </w:t>
            </w:r>
            <w:r w:rsidR="00B1078A" w:rsidRPr="00032B47">
              <w:t>chance</w:t>
            </w:r>
            <w:r w:rsidR="00B1078A">
              <w:rPr>
                <w:rStyle w:val="Strong"/>
                <w:b w:val="0"/>
                <w:bCs w:val="0"/>
              </w:rPr>
              <w:t xml:space="preserve"> will also be examined</w:t>
            </w:r>
            <w:r w:rsidRPr="00032B47">
              <w:t xml:space="preserve">. </w:t>
            </w:r>
          </w:p>
        </w:tc>
        <w:tc>
          <w:tcPr>
            <w:tcW w:w="2410" w:type="dxa"/>
            <w:vAlign w:val="top"/>
          </w:tcPr>
          <w:p w14:paraId="0E0A0A9F" w14:textId="61E89FFC" w:rsidR="00B1078A" w:rsidRPr="00B1078A" w:rsidRDefault="00B1078A" w:rsidP="00032B47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078A">
              <w:rPr>
                <w:b/>
                <w:bCs/>
              </w:rPr>
              <w:lastRenderedPageBreak/>
              <w:t>Jazz</w:t>
            </w:r>
          </w:p>
          <w:p w14:paraId="468A8E03" w14:textId="0E807AA1" w:rsidR="0034429B" w:rsidRPr="00032B47" w:rsidRDefault="00AA3B25" w:rsidP="00032B47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br/>
            </w:r>
            <w:r w:rsidR="00B1078A">
              <w:t>This unit will allow s</w:t>
            </w:r>
            <w:r w:rsidR="009A1096" w:rsidRPr="00032B47">
              <w:t>tudents</w:t>
            </w:r>
            <w:r w:rsidR="00B1078A">
              <w:t xml:space="preserve"> to</w:t>
            </w:r>
            <w:r w:rsidR="00FA5D53">
              <w:t xml:space="preserve"> explore</w:t>
            </w:r>
            <w:r w:rsidR="009A1096" w:rsidRPr="00032B47">
              <w:t xml:space="preserve"> the history, </w:t>
            </w:r>
            <w:r w:rsidR="00FA5D53">
              <w:t xml:space="preserve">various </w:t>
            </w:r>
            <w:r w:rsidR="009A1096" w:rsidRPr="00032B47">
              <w:t>styles</w:t>
            </w:r>
            <w:r w:rsidR="00FA5D53">
              <w:t>, and musical</w:t>
            </w:r>
            <w:r w:rsidR="009A1096" w:rsidRPr="00032B47">
              <w:t xml:space="preserve"> qualities of jazz</w:t>
            </w:r>
            <w:r w:rsidR="00FA5D53">
              <w:t xml:space="preserve">. It will take a chronological approach, starting from </w:t>
            </w:r>
            <w:r w:rsidR="009A1096" w:rsidRPr="00032B47">
              <w:t>traditional blues and swing through</w:t>
            </w:r>
            <w:r w:rsidR="00FA5D53">
              <w:t>, moving</w:t>
            </w:r>
            <w:r w:rsidR="009A1096" w:rsidRPr="00032B47">
              <w:t xml:space="preserve"> to bebop, modal</w:t>
            </w:r>
            <w:r w:rsidR="00FA5D53">
              <w:t xml:space="preserve"> jazz</w:t>
            </w:r>
            <w:r w:rsidR="009A1096" w:rsidRPr="00032B47">
              <w:t xml:space="preserve">, and </w:t>
            </w:r>
            <w:r w:rsidR="00FA5D53">
              <w:t xml:space="preserve">modern </w:t>
            </w:r>
            <w:r w:rsidR="009A1096" w:rsidRPr="00032B47">
              <w:t>fusion.</w:t>
            </w:r>
            <w:r w:rsidR="00FA5D53">
              <w:t xml:space="preserve"> Students will be able explore standard jazz forms (Blues, ABA, etc.)</w:t>
            </w:r>
            <w:r w:rsidR="009A1096" w:rsidRPr="00032B47">
              <w:t xml:space="preserve"> </w:t>
            </w:r>
            <w:r w:rsidR="00FA5D53">
              <w:t xml:space="preserve">and extend their understanding of concepts of </w:t>
            </w:r>
            <w:r w:rsidR="009A1096" w:rsidRPr="00032B47">
              <w:t xml:space="preserve">on </w:t>
            </w:r>
            <w:r w:rsidR="009A1096" w:rsidRPr="00032B47">
              <w:rPr>
                <w:rStyle w:val="Strong"/>
                <w:b w:val="0"/>
                <w:bCs w:val="0"/>
              </w:rPr>
              <w:t>rhythm</w:t>
            </w:r>
            <w:r w:rsidR="00FA5D53">
              <w:rPr>
                <w:rStyle w:val="Strong"/>
                <w:b w:val="0"/>
                <w:bCs w:val="0"/>
              </w:rPr>
              <w:t xml:space="preserve"> (by being exposed to more complex structures)</w:t>
            </w:r>
            <w:r w:rsidR="009A1096" w:rsidRPr="00032B47">
              <w:rPr>
                <w:rStyle w:val="Strong"/>
                <w:b w:val="0"/>
                <w:bCs w:val="0"/>
              </w:rPr>
              <w:t xml:space="preserve"> </w:t>
            </w:r>
            <w:r w:rsidR="00FA5D53">
              <w:rPr>
                <w:rStyle w:val="Strong"/>
                <w:b w:val="0"/>
                <w:bCs w:val="0"/>
              </w:rPr>
              <w:t xml:space="preserve">and tonality (exploration of blues scale and chord tones) and undertake improvisation in </w:t>
            </w:r>
            <w:r w:rsidR="009A1096" w:rsidRPr="00032B47">
              <w:rPr>
                <w:rStyle w:val="Strong"/>
                <w:b w:val="0"/>
                <w:bCs w:val="0"/>
              </w:rPr>
              <w:t xml:space="preserve">ensemble </w:t>
            </w:r>
            <w:r w:rsidR="00FA5D53">
              <w:rPr>
                <w:rStyle w:val="Strong"/>
                <w:b w:val="0"/>
                <w:bCs w:val="0"/>
              </w:rPr>
              <w:t>settings</w:t>
            </w:r>
            <w:r w:rsidR="009A1096" w:rsidRPr="00032B47">
              <w:t xml:space="preserve">. Students </w:t>
            </w:r>
            <w:r w:rsidR="00FA5D53">
              <w:t xml:space="preserve">their </w:t>
            </w:r>
            <w:r w:rsidR="009A1096" w:rsidRPr="00032B47">
              <w:t xml:space="preserve">apply knowledge of </w:t>
            </w:r>
            <w:r w:rsidR="00FA5D53">
              <w:lastRenderedPageBreak/>
              <w:t xml:space="preserve">structure, use of </w:t>
            </w:r>
            <w:r w:rsidR="009A1096" w:rsidRPr="00032B47">
              <w:t>motif</w:t>
            </w:r>
            <w:r w:rsidR="00FA5D53">
              <w:t>s</w:t>
            </w:r>
            <w:r w:rsidR="009A1096" w:rsidRPr="00032B47">
              <w:t>, harmon</w:t>
            </w:r>
            <w:r w:rsidR="00FA5D53">
              <w:t xml:space="preserve">y, and texture to develop their improvisation skills and perform in different jazz styles. </w:t>
            </w:r>
          </w:p>
        </w:tc>
      </w:tr>
      <w:tr w:rsidR="0034429B" w:rsidRPr="00032B47" w14:paraId="7BD022AA" w14:textId="77777777" w:rsidTr="00344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CE74708" w14:textId="77777777" w:rsidR="0034429B" w:rsidRPr="00032B47" w:rsidRDefault="0034429B" w:rsidP="00AA24CB">
            <w:pPr>
              <w:pStyle w:val="List"/>
              <w:rPr>
                <w:b w:val="0"/>
              </w:rPr>
            </w:pPr>
            <w:r w:rsidRPr="00032B47">
              <w:rPr>
                <w:b w:val="0"/>
              </w:rPr>
              <w:lastRenderedPageBreak/>
              <w:t>Outcomes</w:t>
            </w:r>
          </w:p>
        </w:tc>
        <w:tc>
          <w:tcPr>
            <w:tcW w:w="2409" w:type="dxa"/>
          </w:tcPr>
          <w:p w14:paraId="4F9CF903" w14:textId="77777777" w:rsidR="0034429B" w:rsidRPr="00032B47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5409D2B6" w14:textId="77777777" w:rsidR="0034429B" w:rsidRPr="00032B47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17E57C2B" w14:textId="77777777" w:rsidR="0034429B" w:rsidRPr="00032B47" w:rsidRDefault="0034429B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34429B" w:rsidRPr="00032B47" w14:paraId="43B68664" w14:textId="77777777" w:rsidTr="00FA5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top"/>
          </w:tcPr>
          <w:p w14:paraId="7ACED6A7" w14:textId="77777777" w:rsidR="0034429B" w:rsidRPr="00FA5D53" w:rsidRDefault="0034429B" w:rsidP="00FA5D53">
            <w:pPr>
              <w:pStyle w:val="List"/>
              <w:rPr>
                <w:bCs/>
              </w:rPr>
            </w:pPr>
            <w:r w:rsidRPr="00FA5D53">
              <w:rPr>
                <w:bCs/>
              </w:rPr>
              <w:t>Assessment</w:t>
            </w:r>
          </w:p>
        </w:tc>
        <w:tc>
          <w:tcPr>
            <w:tcW w:w="2409" w:type="dxa"/>
            <w:vAlign w:val="top"/>
          </w:tcPr>
          <w:p w14:paraId="6C0DD175" w14:textId="0A5A9EAD" w:rsidR="0034429B" w:rsidRPr="00032B47" w:rsidRDefault="009A1096" w:rsidP="00032B47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t>Task 1 (30%)</w:t>
            </w:r>
          </w:p>
          <w:p w14:paraId="69295B08" w14:textId="7810C9F7" w:rsidR="0034429B" w:rsidRDefault="00FA5D53" w:rsidP="00032B47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will c</w:t>
            </w:r>
            <w:r w:rsidR="00B1078A" w:rsidRPr="00032B47">
              <w:t xml:space="preserve">ompose </w:t>
            </w:r>
            <w:r>
              <w:t xml:space="preserve">an </w:t>
            </w:r>
            <w:r w:rsidR="00B1078A" w:rsidRPr="00032B47">
              <w:t>original music for a film scene</w:t>
            </w:r>
            <w:r>
              <w:t xml:space="preserve"> using a DAW (from scratch or using loops)</w:t>
            </w:r>
            <w:r w:rsidR="00B1078A" w:rsidRPr="00032B47">
              <w:t xml:space="preserve"> (20%)</w:t>
            </w:r>
          </w:p>
          <w:p w14:paraId="3164C275" w14:textId="0184C8B7" w:rsidR="00FA5D53" w:rsidRPr="00032B47" w:rsidRDefault="00FA5D53" w:rsidP="00032B47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t>Students will undertake a</w:t>
            </w:r>
            <w:r w:rsidRPr="00032B47">
              <w:t xml:space="preserve"> listening task analysing music for screen (10%)</w:t>
            </w:r>
          </w:p>
          <w:p w14:paraId="4100CC22" w14:textId="77777777" w:rsidR="009A1096" w:rsidRPr="00032B47" w:rsidRDefault="009A1096" w:rsidP="00032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2047D1FE" w14:textId="77777777" w:rsidR="0034429B" w:rsidRPr="00032B47" w:rsidRDefault="0034429B" w:rsidP="00032B47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top"/>
          </w:tcPr>
          <w:p w14:paraId="1FEB60A5" w14:textId="407E506C" w:rsidR="009A1096" w:rsidRPr="00032B47" w:rsidRDefault="009A1096" w:rsidP="00032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B47">
              <w:t>Task 2 (30%)</w:t>
            </w:r>
          </w:p>
          <w:p w14:paraId="7BF94EE2" w14:textId="1EA2EF52" w:rsidR="009A1096" w:rsidRDefault="00FA5D53" w:rsidP="00032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will p</w:t>
            </w:r>
            <w:r w:rsidR="00B1078A" w:rsidRPr="00032B47">
              <w:t>erform</w:t>
            </w:r>
            <w:r>
              <w:t xml:space="preserve"> key themes or an excerpt from</w:t>
            </w:r>
            <w:r w:rsidR="00B1078A" w:rsidRPr="00032B47">
              <w:t xml:space="preserve"> of a 20th/21st century work (20%)</w:t>
            </w:r>
          </w:p>
          <w:p w14:paraId="1031D731" w14:textId="35DB75E6" w:rsidR="00FA5D53" w:rsidRPr="00032B47" w:rsidRDefault="00484AD4" w:rsidP="00032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will do a V</w:t>
            </w:r>
            <w:r w:rsidR="00FA5D53" w:rsidRPr="00032B47">
              <w:t xml:space="preserve">iva </w:t>
            </w:r>
            <w:r>
              <w:t>V</w:t>
            </w:r>
            <w:r w:rsidR="00FA5D53" w:rsidRPr="00032B47">
              <w:t>oce analysing key musical concepts in a selected composition (10%)</w:t>
            </w:r>
          </w:p>
          <w:p w14:paraId="29ACBCED" w14:textId="77777777" w:rsidR="009A1096" w:rsidRPr="00032B47" w:rsidRDefault="009A1096" w:rsidP="00032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7E4FCB0C" w14:textId="301F226D" w:rsidR="0034429B" w:rsidRPr="00032B47" w:rsidRDefault="0034429B" w:rsidP="00FA5D53">
            <w:pPr>
              <w:pStyle w:val="List"/>
              <w:tabs>
                <w:tab w:val="center" w:pos="10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top"/>
          </w:tcPr>
          <w:p w14:paraId="7C0EFB0D" w14:textId="29865C7D" w:rsidR="009A1096" w:rsidRPr="00032B47" w:rsidRDefault="009A1096" w:rsidP="00032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B47">
              <w:t>Task 3 (40%</w:t>
            </w:r>
          </w:p>
          <w:p w14:paraId="0073ABFF" w14:textId="52E76320" w:rsidR="00FA5D53" w:rsidRDefault="00484AD4" w:rsidP="00032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will compose an</w:t>
            </w:r>
            <w:r w:rsidR="00AA3B25">
              <w:t xml:space="preserve"> </w:t>
            </w:r>
            <w:r w:rsidR="00B1078A" w:rsidRPr="00032B47">
              <w:t>improvisation a solo over a jazz progression (20%)</w:t>
            </w:r>
          </w:p>
          <w:p w14:paraId="5E9083E6" w14:textId="6A6D4FA0" w:rsidR="00FA5D53" w:rsidRPr="00032B47" w:rsidRDefault="00484AD4" w:rsidP="00032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Students will </w:t>
            </w:r>
            <w:r w:rsidR="00AA3B25">
              <w:t>perform</w:t>
            </w:r>
            <w:r w:rsidR="00FA5D53" w:rsidRPr="00032B47">
              <w:t xml:space="preserve"> of a jazz standard or original piece (20%)</w:t>
            </w:r>
          </w:p>
          <w:p w14:paraId="6101309D" w14:textId="77777777" w:rsidR="009A1096" w:rsidRPr="00032B47" w:rsidRDefault="009A1096" w:rsidP="00032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p w14:paraId="562D7A07" w14:textId="77777777" w:rsidR="0034429B" w:rsidRPr="00032B47" w:rsidRDefault="0034429B" w:rsidP="00032B47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34429B" w:rsidRPr="00032B47" w14:paraId="77ED141B" w14:textId="77777777" w:rsidTr="003442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4E8FDB" w14:textId="77777777" w:rsidR="0034429B" w:rsidRPr="00032B47" w:rsidRDefault="0034429B" w:rsidP="00AA24CB">
            <w:pPr>
              <w:pStyle w:val="List"/>
              <w:rPr>
                <w:b w:val="0"/>
              </w:rPr>
            </w:pPr>
            <w:r w:rsidRPr="00032B47">
              <w:rPr>
                <w:b w:val="0"/>
              </w:rPr>
              <w:t>Due</w:t>
            </w:r>
          </w:p>
        </w:tc>
        <w:tc>
          <w:tcPr>
            <w:tcW w:w="2409" w:type="dxa"/>
          </w:tcPr>
          <w:p w14:paraId="7CF1A31D" w14:textId="109A8B26" w:rsidR="0034429B" w:rsidRPr="00032B47" w:rsidRDefault="00032B47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Week 9, Term 1</w:t>
            </w:r>
          </w:p>
        </w:tc>
        <w:tc>
          <w:tcPr>
            <w:tcW w:w="2410" w:type="dxa"/>
          </w:tcPr>
          <w:p w14:paraId="5D0B9894" w14:textId="1BED26D8" w:rsidR="0034429B" w:rsidRPr="00032B47" w:rsidRDefault="00032B47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Week 10, Term 2</w:t>
            </w:r>
          </w:p>
        </w:tc>
        <w:tc>
          <w:tcPr>
            <w:tcW w:w="2410" w:type="dxa"/>
          </w:tcPr>
          <w:p w14:paraId="20E94826" w14:textId="5B21991B" w:rsidR="0034429B" w:rsidRPr="00032B47" w:rsidRDefault="00032B47" w:rsidP="00AA24CB">
            <w:pPr>
              <w:pStyle w:val="Li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Week 9, Term 1</w:t>
            </w:r>
          </w:p>
        </w:tc>
      </w:tr>
      <w:tr w:rsidR="0034429B" w:rsidRPr="00032B47" w14:paraId="36EC7077" w14:textId="77777777" w:rsidTr="0034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2948BE" w14:textId="77777777" w:rsidR="0034429B" w:rsidRPr="00032B47" w:rsidRDefault="0034429B" w:rsidP="00AA24CB">
            <w:pPr>
              <w:pStyle w:val="List"/>
              <w:rPr>
                <w:b w:val="0"/>
              </w:rPr>
            </w:pPr>
            <w:r w:rsidRPr="00032B47">
              <w:rPr>
                <w:b w:val="0"/>
              </w:rPr>
              <w:t>Total</w:t>
            </w:r>
          </w:p>
        </w:tc>
        <w:tc>
          <w:tcPr>
            <w:tcW w:w="2409" w:type="dxa"/>
          </w:tcPr>
          <w:p w14:paraId="13D88176" w14:textId="7948D9A3" w:rsidR="0034429B" w:rsidRPr="00032B47" w:rsidRDefault="00032B47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30</w:t>
            </w:r>
          </w:p>
        </w:tc>
        <w:tc>
          <w:tcPr>
            <w:tcW w:w="2410" w:type="dxa"/>
          </w:tcPr>
          <w:p w14:paraId="73EB3693" w14:textId="6FD1EE76" w:rsidR="0034429B" w:rsidRPr="00032B47" w:rsidRDefault="00032B47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30</w:t>
            </w:r>
          </w:p>
        </w:tc>
        <w:tc>
          <w:tcPr>
            <w:tcW w:w="2410" w:type="dxa"/>
          </w:tcPr>
          <w:p w14:paraId="219993C6" w14:textId="5D62B92A" w:rsidR="0034429B" w:rsidRPr="00032B47" w:rsidRDefault="00032B47" w:rsidP="00AA24CB">
            <w:pPr>
              <w:pStyle w:val="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32B47">
              <w:rPr>
                <w:sz w:val="21"/>
                <w:szCs w:val="21"/>
              </w:rPr>
              <w:t>40</w:t>
            </w:r>
          </w:p>
        </w:tc>
      </w:tr>
    </w:tbl>
    <w:p w14:paraId="27A36943" w14:textId="77777777" w:rsidR="0034429B" w:rsidRPr="00032B47" w:rsidRDefault="0034429B" w:rsidP="0034429B">
      <w:pPr>
        <w:rPr>
          <w:lang w:eastAsia="zh-CN"/>
        </w:rPr>
      </w:pPr>
    </w:p>
    <w:p w14:paraId="4309F59F" w14:textId="77777777" w:rsidR="0034429B" w:rsidRPr="00032B47" w:rsidRDefault="0034429B" w:rsidP="0034429B"/>
    <w:p w14:paraId="7020BD22" w14:textId="77777777" w:rsidR="0034429B" w:rsidRPr="00032B47" w:rsidRDefault="0034429B" w:rsidP="0034429B"/>
    <w:p w14:paraId="3304C287" w14:textId="77777777" w:rsidR="0034429B" w:rsidRPr="00032B47" w:rsidRDefault="0034429B" w:rsidP="0034429B"/>
    <w:p w14:paraId="58A79493" w14:textId="77777777" w:rsidR="0034429B" w:rsidRPr="00032B47" w:rsidRDefault="0034429B" w:rsidP="0034429B"/>
    <w:p w14:paraId="2FFBBBF2" w14:textId="77777777" w:rsidR="0034429B" w:rsidRPr="00032B47" w:rsidRDefault="0034429B" w:rsidP="0034429B"/>
    <w:p w14:paraId="67660602" w14:textId="77777777" w:rsidR="0034429B" w:rsidRPr="00032B47" w:rsidRDefault="0034429B" w:rsidP="0034429B"/>
    <w:p w14:paraId="5001656C" w14:textId="77777777" w:rsidR="0034429B" w:rsidRPr="00032B47" w:rsidRDefault="0034429B" w:rsidP="0034429B"/>
    <w:p w14:paraId="609CD33F" w14:textId="77777777" w:rsidR="0034429B" w:rsidRPr="00032B47" w:rsidRDefault="0034429B" w:rsidP="0034429B"/>
    <w:p w14:paraId="7B61111E" w14:textId="77777777" w:rsidR="0034429B" w:rsidRPr="00032B47" w:rsidRDefault="0034429B" w:rsidP="0034429B"/>
    <w:p w14:paraId="55DAA80E" w14:textId="77777777" w:rsidR="0034429B" w:rsidRPr="00032B47" w:rsidRDefault="0034429B" w:rsidP="0034429B"/>
    <w:p w14:paraId="406DFA2D" w14:textId="77777777" w:rsidR="0034429B" w:rsidRPr="00032B47" w:rsidRDefault="0034429B" w:rsidP="0034429B"/>
    <w:p w14:paraId="56236910" w14:textId="77777777" w:rsidR="0034429B" w:rsidRPr="00032B47" w:rsidRDefault="0034429B" w:rsidP="0034429B"/>
    <w:p w14:paraId="2782670D" w14:textId="77777777" w:rsidR="0034429B" w:rsidRPr="00032B47" w:rsidRDefault="0034429B" w:rsidP="0034429B"/>
    <w:p w14:paraId="50B82833" w14:textId="77777777" w:rsidR="0034429B" w:rsidRPr="00032B47" w:rsidRDefault="0034429B" w:rsidP="0034429B"/>
    <w:p w14:paraId="43EB1B7F" w14:textId="77777777" w:rsidR="0034429B" w:rsidRPr="00032B47" w:rsidRDefault="0034429B" w:rsidP="0034429B"/>
    <w:p w14:paraId="2D8AB15A" w14:textId="77777777" w:rsidR="0034429B" w:rsidRPr="00032B47" w:rsidRDefault="0034429B" w:rsidP="0034429B"/>
    <w:p w14:paraId="3CC297D9" w14:textId="77777777" w:rsidR="0034429B" w:rsidRPr="00032B47" w:rsidRDefault="0034429B" w:rsidP="0034429B"/>
    <w:p w14:paraId="1048249F" w14:textId="77777777" w:rsidR="0034429B" w:rsidRPr="00032B47" w:rsidRDefault="0034429B" w:rsidP="0034429B"/>
    <w:p w14:paraId="366AF7D9" w14:textId="77777777" w:rsidR="00B52D15" w:rsidRPr="00032B47" w:rsidRDefault="00B52D15" w:rsidP="0034429B">
      <w:pPr>
        <w:pStyle w:val="Title"/>
        <w:rPr>
          <w:sz w:val="48"/>
          <w:szCs w:val="48"/>
        </w:rPr>
      </w:pPr>
    </w:p>
    <w:p w14:paraId="1E4441BE" w14:textId="77777777" w:rsidR="00AA38B4" w:rsidRPr="00032B47" w:rsidRDefault="00AA38B4" w:rsidP="0034429B">
      <w:pPr>
        <w:pStyle w:val="Title"/>
        <w:rPr>
          <w:sz w:val="48"/>
          <w:szCs w:val="48"/>
        </w:rPr>
      </w:pPr>
    </w:p>
    <w:p w14:paraId="3D75D68F" w14:textId="77777777" w:rsidR="00AA38B4" w:rsidRPr="00032B47" w:rsidRDefault="00AA38B4" w:rsidP="0034429B">
      <w:pPr>
        <w:pStyle w:val="Title"/>
        <w:rPr>
          <w:sz w:val="48"/>
          <w:szCs w:val="48"/>
        </w:rPr>
      </w:pPr>
    </w:p>
    <w:p w14:paraId="76CE9202" w14:textId="77777777" w:rsidR="00AA38B4" w:rsidRPr="00032B47" w:rsidRDefault="00AA38B4" w:rsidP="0034429B">
      <w:pPr>
        <w:pStyle w:val="Title"/>
        <w:rPr>
          <w:sz w:val="48"/>
          <w:szCs w:val="48"/>
        </w:rPr>
      </w:pPr>
    </w:p>
    <w:p w14:paraId="21C8E8E1" w14:textId="77777777" w:rsidR="00AA38B4" w:rsidRPr="00032B47" w:rsidRDefault="00AA38B4" w:rsidP="0034429B">
      <w:pPr>
        <w:pStyle w:val="Title"/>
        <w:rPr>
          <w:sz w:val="48"/>
          <w:szCs w:val="48"/>
        </w:rPr>
      </w:pPr>
    </w:p>
    <w:p w14:paraId="5552232E" w14:textId="77777777" w:rsidR="00AA38B4" w:rsidRPr="00032B47" w:rsidRDefault="00AA38B4" w:rsidP="0034429B">
      <w:pPr>
        <w:pStyle w:val="Title"/>
        <w:rPr>
          <w:sz w:val="48"/>
          <w:szCs w:val="48"/>
        </w:rPr>
      </w:pPr>
    </w:p>
    <w:p w14:paraId="4843CA8C" w14:textId="77777777" w:rsidR="0034429B" w:rsidRPr="00032B47" w:rsidRDefault="0034429B" w:rsidP="0034429B">
      <w:pPr>
        <w:rPr>
          <w:lang w:eastAsia="zh-CN"/>
        </w:rPr>
      </w:pPr>
    </w:p>
    <w:p w14:paraId="698633BB" w14:textId="77777777" w:rsidR="0034429B" w:rsidRPr="00032B47" w:rsidRDefault="0034429B" w:rsidP="0034429B"/>
    <w:p w14:paraId="5C7B81F8" w14:textId="77777777" w:rsidR="0034429B" w:rsidRPr="00032B47" w:rsidRDefault="0034429B" w:rsidP="0034429B"/>
    <w:p w14:paraId="0935FCA9" w14:textId="77777777" w:rsidR="0034429B" w:rsidRPr="00032B47" w:rsidRDefault="0034429B" w:rsidP="0034429B"/>
    <w:p w14:paraId="772A92A4" w14:textId="77777777" w:rsidR="0034429B" w:rsidRPr="00032B47" w:rsidRDefault="0034429B" w:rsidP="0034429B"/>
    <w:p w14:paraId="3748A713" w14:textId="77777777" w:rsidR="0034429B" w:rsidRPr="00032B47" w:rsidRDefault="0034429B" w:rsidP="0034429B"/>
    <w:p w14:paraId="793E435D" w14:textId="77777777" w:rsidR="0034429B" w:rsidRPr="00032B47" w:rsidRDefault="0034429B" w:rsidP="0034429B"/>
    <w:p w14:paraId="64AB4137" w14:textId="77777777" w:rsidR="0034429B" w:rsidRPr="00032B47" w:rsidRDefault="0034429B" w:rsidP="0034429B"/>
    <w:p w14:paraId="18F1D3B1" w14:textId="77777777" w:rsidR="0034429B" w:rsidRPr="00032B47" w:rsidRDefault="0034429B" w:rsidP="0034429B"/>
    <w:p w14:paraId="1052F8AF" w14:textId="77777777" w:rsidR="0034429B" w:rsidRPr="00032B47" w:rsidRDefault="0034429B" w:rsidP="0034429B"/>
    <w:p w14:paraId="5A1AFAB5" w14:textId="77777777" w:rsidR="0034429B" w:rsidRPr="00032B47" w:rsidRDefault="0034429B" w:rsidP="0034429B"/>
    <w:p w14:paraId="5810E73E" w14:textId="77777777" w:rsidR="0034429B" w:rsidRPr="00032B47" w:rsidRDefault="0034429B" w:rsidP="0034429B"/>
    <w:p w14:paraId="1B84082C" w14:textId="77777777" w:rsidR="0034429B" w:rsidRPr="00032B47" w:rsidRDefault="0034429B" w:rsidP="0034429B"/>
    <w:p w14:paraId="333A40E0" w14:textId="77777777" w:rsidR="0034429B" w:rsidRPr="00032B47" w:rsidRDefault="0034429B" w:rsidP="0034429B"/>
    <w:p w14:paraId="5CD79063" w14:textId="77777777" w:rsidR="0034429B" w:rsidRPr="00032B47" w:rsidRDefault="0034429B" w:rsidP="0034429B"/>
    <w:p w14:paraId="54CB1CF3" w14:textId="77777777" w:rsidR="0034429B" w:rsidRPr="00032B47" w:rsidRDefault="0034429B" w:rsidP="0034429B"/>
    <w:p w14:paraId="0F228134" w14:textId="77777777" w:rsidR="0034429B" w:rsidRPr="00032B47" w:rsidRDefault="0034429B" w:rsidP="0034429B"/>
    <w:p w14:paraId="39C36316" w14:textId="77777777" w:rsidR="0034429B" w:rsidRPr="00032B47" w:rsidRDefault="0034429B" w:rsidP="0034429B"/>
    <w:p w14:paraId="17BD0981" w14:textId="77777777" w:rsidR="0034429B" w:rsidRPr="00032B47" w:rsidRDefault="0034429B" w:rsidP="0034429B"/>
    <w:p w14:paraId="4A224A6B" w14:textId="77777777" w:rsidR="0034429B" w:rsidRPr="00032B47" w:rsidRDefault="0034429B" w:rsidP="0034429B"/>
    <w:p w14:paraId="208DB953" w14:textId="77777777" w:rsidR="0034429B" w:rsidRPr="00032B47" w:rsidRDefault="0034429B" w:rsidP="0034429B"/>
    <w:p w14:paraId="780B5F72" w14:textId="77777777" w:rsidR="0034429B" w:rsidRPr="00032B47" w:rsidRDefault="0034429B" w:rsidP="0034429B"/>
    <w:p w14:paraId="67597E64" w14:textId="77777777" w:rsidR="0034429B" w:rsidRPr="00032B47" w:rsidRDefault="0034429B" w:rsidP="0034429B"/>
    <w:p w14:paraId="629AC5E6" w14:textId="77777777" w:rsidR="00CD2609" w:rsidRPr="00032B47" w:rsidRDefault="00CD2609"/>
    <w:sectPr w:rsidR="00CD2609" w:rsidRPr="00032B47" w:rsidSect="00AA3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1A4D8" w14:textId="77777777" w:rsidR="00BA299E" w:rsidRDefault="00BA299E" w:rsidP="00AA38B4">
      <w:pPr>
        <w:spacing w:before="0" w:line="240" w:lineRule="auto"/>
      </w:pPr>
      <w:r>
        <w:separator/>
      </w:r>
    </w:p>
  </w:endnote>
  <w:endnote w:type="continuationSeparator" w:id="0">
    <w:p w14:paraId="706AF4FF" w14:textId="77777777" w:rsidR="00BA299E" w:rsidRDefault="00BA299E" w:rsidP="00AA38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D754B" w14:textId="77777777" w:rsidR="00BA299E" w:rsidRDefault="00BA299E" w:rsidP="00AA38B4">
      <w:pPr>
        <w:spacing w:before="0" w:line="240" w:lineRule="auto"/>
      </w:pPr>
      <w:r>
        <w:separator/>
      </w:r>
    </w:p>
  </w:footnote>
  <w:footnote w:type="continuationSeparator" w:id="0">
    <w:p w14:paraId="6017D525" w14:textId="77777777" w:rsidR="00BA299E" w:rsidRDefault="00BA299E" w:rsidP="00AA38B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41"/>
    <w:rsid w:val="00032B47"/>
    <w:rsid w:val="00295D25"/>
    <w:rsid w:val="0034429B"/>
    <w:rsid w:val="00484AD4"/>
    <w:rsid w:val="00752D2F"/>
    <w:rsid w:val="00796A46"/>
    <w:rsid w:val="008A7DBA"/>
    <w:rsid w:val="008B4EAD"/>
    <w:rsid w:val="009A1096"/>
    <w:rsid w:val="00A63041"/>
    <w:rsid w:val="00AA38B4"/>
    <w:rsid w:val="00AA3B25"/>
    <w:rsid w:val="00B1078A"/>
    <w:rsid w:val="00B52D15"/>
    <w:rsid w:val="00BA299E"/>
    <w:rsid w:val="00C5703D"/>
    <w:rsid w:val="00CA0A43"/>
    <w:rsid w:val="00CD2609"/>
    <w:rsid w:val="00D448FE"/>
    <w:rsid w:val="00F207C0"/>
    <w:rsid w:val="00FA5D53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699B"/>
  <w15:chartTrackingRefBased/>
  <w15:docId w15:val="{50174181-2040-457E-8BF5-E1444B3A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ŠNormal"/>
    <w:qFormat/>
    <w:rsid w:val="0034429B"/>
    <w:pPr>
      <w:spacing w:before="240" w:after="0" w:line="276" w:lineRule="auto"/>
    </w:pPr>
    <w:rPr>
      <w:rFonts w:ascii="Arial" w:hAnsi="Arial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0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0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0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0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041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ŠTitle"/>
    <w:basedOn w:val="Normal"/>
    <w:next w:val="Normal"/>
    <w:link w:val="TitleChar"/>
    <w:uiPriority w:val="24"/>
    <w:qFormat/>
    <w:rsid w:val="00A63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ŠTitle Char"/>
    <w:basedOn w:val="DefaultParagraphFont"/>
    <w:link w:val="Title"/>
    <w:uiPriority w:val="24"/>
    <w:rsid w:val="00A6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041"/>
    <w:rPr>
      <w:b/>
      <w:bCs/>
      <w:smallCaps/>
      <w:color w:val="0F4761" w:themeColor="accent1" w:themeShade="BF"/>
      <w:spacing w:val="5"/>
    </w:rPr>
  </w:style>
  <w:style w:type="table" w:customStyle="1" w:styleId="Tableheader">
    <w:name w:val="ŠTable header"/>
    <w:basedOn w:val="TableNormal"/>
    <w:uiPriority w:val="99"/>
    <w:rsid w:val="0034429B"/>
    <w:pPr>
      <w:widowControl w:val="0"/>
      <w:snapToGrid w:val="0"/>
      <w:spacing w:before="80" w:after="80" w:line="240" w:lineRule="auto"/>
      <w:mirrorIndents/>
    </w:pPr>
    <w:rPr>
      <w:rFonts w:ascii="Arial" w:hAnsi="Arial"/>
      <w:kern w:val="0"/>
      <w:szCs w:val="24"/>
      <w:lang w:val="en-US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0" w:before="80" w:beforeAutospacing="0" w:afterLines="0" w:after="80" w:afterAutospacing="0" w:line="240" w:lineRule="auto"/>
        <w:contextualSpacing w:val="0"/>
        <w:mirrorIndents/>
        <w:jc w:val="left"/>
        <w:textboxTightWrap w:val="allLines"/>
        <w:outlineLvl w:val="9"/>
      </w:pPr>
      <w:rPr>
        <w:rFonts w:ascii="Arial" w:hAnsi="Arial"/>
        <w:b/>
        <w:color w:val="FFFFFF" w:themeColor="background1"/>
        <w:sz w:val="22"/>
      </w:rPr>
      <w:tblPr/>
      <w:trPr>
        <w:cantSplit/>
        <w:tblHeader/>
      </w:trPr>
      <w:tcPr>
        <w:tcBorders>
          <w:top w:val="single" w:sz="24" w:space="0" w:color="0A2F41" w:themeColor="accent1" w:themeShade="80"/>
          <w:left w:val="single" w:sz="24" w:space="0" w:color="0A2F41" w:themeColor="accent1" w:themeShade="80"/>
          <w:bottom w:val="single" w:sz="24" w:space="0" w:color="C00000"/>
          <w:right w:val="single" w:sz="24" w:space="0" w:color="0A2F41" w:themeColor="accent1" w:themeShade="80"/>
          <w:insideH w:val="single" w:sz="24" w:space="0" w:color="0A2F41" w:themeColor="accent1" w:themeShade="80"/>
          <w:insideV w:val="single" w:sz="24" w:space="0" w:color="0A2F41" w:themeColor="accent1" w:themeShade="80"/>
          <w:tl2br w:val="nil"/>
          <w:tr2bl w:val="nil"/>
        </w:tcBorders>
        <w:shd w:val="clear" w:color="auto" w:fill="0A2F41" w:themeFill="accent1" w:themeFillShade="8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line="240" w:lineRule="auto"/>
        <w:contextualSpacing w:val="0"/>
        <w:mirrorIndents/>
      </w:p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0" w:before="80" w:beforeAutospacing="0" w:afterLines="0" w:after="80" w:afterAutospacing="0" w:line="240" w:lineRule="auto"/>
        <w:contextualSpacing w:val="0"/>
        <w:mirrorIndents/>
      </w:pPr>
      <w:rPr>
        <w:rFonts w:ascii="Arial" w:hAnsi="Arial"/>
        <w:b/>
        <w:sz w:val="22"/>
      </w:r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line="240" w:lineRule="auto"/>
        <w:contextualSpacing w:val="0"/>
        <w:mirrorIndents/>
      </w:p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80" w:before="80" w:beforeAutospacing="0" w:afterLines="80" w:after="80" w:afterAutospacing="0" w:line="240" w:lineRule="auto"/>
        <w:contextualSpacing w:val="0"/>
        <w:mirrorIndents/>
      </w:pPr>
      <w:rPr>
        <w:rFonts w:ascii="Arial" w:hAnsi="Arial"/>
        <w:sz w:val="22"/>
      </w:rPr>
    </w:tblStylePr>
    <w:tblStylePr w:type="band2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80" w:before="80" w:beforeAutospacing="0" w:afterLines="80" w:after="80" w:afterAutospacing="0" w:line="240" w:lineRule="auto"/>
        <w:contextualSpacing w:val="0"/>
        <w:mirrorIndents/>
      </w:p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0" w:before="80" w:beforeAutospacing="0" w:afterLines="0" w:after="80" w:afterAutospacing="0" w:line="240" w:lineRule="auto"/>
        <w:contextualSpacing w:val="0"/>
        <w:mirrorIndents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0" w:before="80" w:beforeAutospacing="0" w:afterLines="0" w:after="80" w:afterAutospacing="0" w:line="240" w:lineRule="auto"/>
        <w:contextualSpacing w:val="0"/>
        <w:mirrorIndents/>
      </w:pPr>
      <w:rPr>
        <w:rFonts w:ascii="Arial" w:hAnsi="Arial"/>
        <w:color w:val="000000" w:themeColor="text1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8E8E8" w:themeFill="background2"/>
      </w:tcPr>
    </w:tblStylePr>
    <w:tblStylePr w:type="neCell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80" w:before="80" w:beforeAutospacing="0" w:afterLines="80" w:after="80" w:afterAutospacing="0" w:line="240" w:lineRule="auto"/>
        <w:contextualSpacing w:val="0"/>
        <w:mirrorIndents/>
      </w:pPr>
    </w:tblStylePr>
    <w:tblStylePr w:type="nwCell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80" w:before="80" w:beforeAutospacing="0" w:afterLines="80" w:after="80" w:afterAutospacing="0" w:line="240" w:lineRule="auto"/>
        <w:contextualSpacing w:val="0"/>
        <w:mirrorIndents/>
      </w:pPr>
    </w:tblStylePr>
    <w:tblStylePr w:type="seCell">
      <w:pPr>
        <w:keepNext w:val="0"/>
        <w:keepLines w:val="0"/>
        <w:pageBreakBefore w:val="0"/>
        <w:widowControl w:val="0"/>
        <w:suppressLineNumbers w:val="0"/>
        <w:suppressAutoHyphens w:val="0"/>
        <w:wordWrap/>
        <w:snapToGrid w:val="0"/>
        <w:spacing w:beforeLines="80" w:before="80" w:beforeAutospacing="0" w:afterLines="80" w:after="80" w:afterAutospacing="0" w:line="240" w:lineRule="auto"/>
        <w:contextualSpacing w:val="0"/>
      </w:pPr>
    </w:tblStylePr>
    <w:tblStylePr w:type="swCell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/>
        <w:snapToGrid w:val="0"/>
        <w:spacing w:beforeLines="80" w:before="80" w:beforeAutospacing="0" w:afterLines="80" w:after="80" w:afterAutospacing="0" w:line="240" w:lineRule="auto"/>
        <w:contextualSpacing w:val="0"/>
        <w:mirrorIndents/>
      </w:pPr>
    </w:tblStylePr>
  </w:style>
  <w:style w:type="paragraph" w:styleId="List">
    <w:name w:val="List"/>
    <w:aliases w:val="ŠList table 1"/>
    <w:basedOn w:val="Normal"/>
    <w:uiPriority w:val="99"/>
    <w:qFormat/>
    <w:rsid w:val="0034429B"/>
  </w:style>
  <w:style w:type="paragraph" w:styleId="Header">
    <w:name w:val="header"/>
    <w:basedOn w:val="Normal"/>
    <w:link w:val="HeaderChar"/>
    <w:uiPriority w:val="99"/>
    <w:unhideWhenUsed/>
    <w:rsid w:val="00AA38B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8B4"/>
    <w:rPr>
      <w:rFonts w:ascii="Arial" w:hAnsi="Arial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38B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8B4"/>
    <w:rPr>
      <w:rFonts w:ascii="Arial" w:hAnsi="Arial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A1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Parkinson</dc:creator>
  <cp:keywords/>
  <dc:description/>
  <cp:lastModifiedBy>Jamie Gabriel</cp:lastModifiedBy>
  <cp:revision>6</cp:revision>
  <dcterms:created xsi:type="dcterms:W3CDTF">2025-07-29T06:38:00Z</dcterms:created>
  <dcterms:modified xsi:type="dcterms:W3CDTF">2025-07-31T22:52:00Z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2025-07-29T06:38:07Z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3359113b-1418-4dd3-9776-be6d85e942a4</vt:lpwstr>
  </property>
  <property fmtid="{D5CDD505-2E9C-101B-9397-08002B2CF9AE}" pid="8" name="MSIP_Label_00f30421-7766-42c6-b167-b4a273574e25_ContentBits">
    <vt:lpwstr>0</vt:lpwstr>
  </property>
  <property fmtid="{D5CDD505-2E9C-101B-9397-08002B2CF9AE}" pid="9" name="MSIP_Label_00f30421-7766-42c6-b167-b4a273574e25_Tag">
    <vt:lpwstr>50, 0, 1, 1</vt:lpwstr>
  </property>
</Properties>
</file>