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 I'd genuinely like to talk through with you</w:t>
      </w:r>
    </w:p>
    <w:p>
      <w:pPr>
        <w:pStyle w:val="ListBullet"/>
      </w:pPr>
      <w:r>
        <w:t>Where would you draw the line between explaining a proposition and being seen to take a side?</w:t>
      </w:r>
    </w:p>
    <w:p>
      <w:pPr>
        <w:pStyle w:val="ListBullet"/>
      </w:pPr>
      <w:r>
        <w:t>Which topic, and which part of the Island, would be the most useful place to start?</w:t>
      </w:r>
    </w:p>
    <w:p>
      <w:pPr>
        <w:pStyle w:val="ListBullet"/>
      </w:pPr>
      <w:r>
        <w:t>Are there partners — parishes, employers, community groups — you'd reach for first?</w:t>
      </w:r>
    </w:p>
    <w:p>
      <w:pPr>
        <w:pStyle w:val="ListBullet"/>
      </w:pPr>
      <w:r>
        <w:t>What would make this feel like a success to you, twelve months in?</w:t>
      </w:r>
    </w:p>
    <w:p>
      <w:r>
        <w:t>A clear starting point, on purpose — but the value is in shaping it together. I'd rather end on questions than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