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7EAC" w14:textId="77777777" w:rsidR="002B6735" w:rsidRDefault="00000000">
      <w:pPr>
        <w:pStyle w:val="Title"/>
      </w:pPr>
      <w:r>
        <w:t>Case 3 - Dow Jones</w:t>
      </w:r>
    </w:p>
    <w:p w14:paraId="1A9153BE" w14:textId="77777777" w:rsidR="002B6735" w:rsidRDefault="00000000">
      <w:pPr>
        <w:pStyle w:val="Author"/>
      </w:pPr>
      <w:r>
        <w:t>Josh Gardner, Alex Martinez, Cameron Playle, and Guillermo Gallardo</w:t>
      </w:r>
    </w:p>
    <w:p w14:paraId="2D3F9629" w14:textId="77777777" w:rsidR="002B6735" w:rsidRDefault="00000000">
      <w:pPr>
        <w:pStyle w:val="Heading1"/>
      </w:pPr>
      <w:bookmarkStart w:id="0" w:name="executive-summary"/>
      <w:r>
        <w:t>Executive Summary</w:t>
      </w:r>
    </w:p>
    <w:p w14:paraId="5EE0CF33" w14:textId="77777777" w:rsidR="006562D4" w:rsidRDefault="006562D4" w:rsidP="003037CE">
      <w:pPr>
        <w:pStyle w:val="BodyText"/>
        <w:jc w:val="both"/>
      </w:pPr>
      <w:bookmarkStart w:id="1" w:name="problem"/>
      <w:bookmarkEnd w:id="0"/>
      <w:r w:rsidRPr="006562D4">
        <w:t>• Bottom Line: The linear regression model (LM) provided the most accurate predictions for weekly returns among Dow Jones stocks, enabling targeted investment recommendations based on risk-return analysis.</w:t>
      </w:r>
    </w:p>
    <w:p w14:paraId="596B61D8" w14:textId="77777777" w:rsidR="006562D4" w:rsidRDefault="006562D4" w:rsidP="003037CE">
      <w:pPr>
        <w:pStyle w:val="BodyText"/>
        <w:jc w:val="both"/>
      </w:pPr>
      <w:r w:rsidRPr="006562D4">
        <w:t>• Invest in KRFT and HPQ: Both stocks showed favorable risk-return profiles and are suitable for portfolio stability.</w:t>
      </w:r>
    </w:p>
    <w:p w14:paraId="5C3F2AA1" w14:textId="77777777" w:rsidR="006562D4" w:rsidRDefault="006562D4" w:rsidP="003037CE">
      <w:pPr>
        <w:pStyle w:val="BodyText"/>
        <w:jc w:val="both"/>
      </w:pPr>
      <w:r w:rsidRPr="006562D4">
        <w:t>• Consider KO for Short-Selling: KO’s negative return, paired with a near-zero beta, presents a strong short-selling opportunity for risk-tolerant investors.</w:t>
      </w:r>
    </w:p>
    <w:p w14:paraId="4404509E" w14:textId="77777777" w:rsidR="006562D4" w:rsidRDefault="006562D4" w:rsidP="003037CE">
      <w:pPr>
        <w:pStyle w:val="BodyText"/>
        <w:jc w:val="both"/>
      </w:pPr>
      <w:r w:rsidRPr="006562D4">
        <w:t>• Predictive models were tested to forecast weekly returns, with LM showing the lowest Root Mean Squared Error (RMSE).</w:t>
      </w:r>
    </w:p>
    <w:p w14:paraId="198016ED" w14:textId="5F00FD5A" w:rsidR="006562D4" w:rsidRPr="006562D4" w:rsidRDefault="006562D4" w:rsidP="003037CE">
      <w:pPr>
        <w:pStyle w:val="BodyText"/>
        <w:jc w:val="both"/>
      </w:pPr>
      <w:r w:rsidRPr="006562D4">
        <w:t>• Capital Asset Pricing Model (CAPM) used beta values to evaluate risk, benchmarking against the S&amp;P 500.</w:t>
      </w:r>
    </w:p>
    <w:p w14:paraId="214399F3" w14:textId="56D75D1D" w:rsidR="002B6735" w:rsidRDefault="00000000">
      <w:pPr>
        <w:pStyle w:val="Heading1"/>
      </w:pPr>
      <w:r>
        <w:t>Problem</w:t>
      </w:r>
    </w:p>
    <w:p w14:paraId="78312FEA" w14:textId="77777777" w:rsidR="002B6735" w:rsidRDefault="00000000" w:rsidP="00603657">
      <w:pPr>
        <w:pStyle w:val="BodyText"/>
        <w:jc w:val="both"/>
      </w:pPr>
      <w:r>
        <w:t>Our problem is to use historical weekly return data for 30 stocks in the Dow Jones Index to predict which stock will produce the greatest rate of return in the following week. From an application standpoint, this involves analyzing stock price trends and using past performance data to inform future investment decisions. The goal is to build predictive models using this historical data to maximize future returns.</w:t>
      </w:r>
    </w:p>
    <w:p w14:paraId="1208142E" w14:textId="77777777" w:rsidR="002B6735" w:rsidRDefault="00000000" w:rsidP="00603657">
      <w:pPr>
        <w:pStyle w:val="BodyText"/>
        <w:jc w:val="both"/>
      </w:pPr>
      <w:r>
        <w:t>To achieve this, we will conduct separate analyses for each stock, calculating the average predictive accuracy across all stocks. This approach will allow us to identify the model that provides the highest rate of return predictions, guiding us in selecting the most effective forecasting method.</w:t>
      </w:r>
    </w:p>
    <w:p w14:paraId="5AFAD90A" w14:textId="77777777" w:rsidR="002B6735" w:rsidRDefault="00000000" w:rsidP="00603657">
      <w:pPr>
        <w:pStyle w:val="BodyText"/>
        <w:jc w:val="both"/>
      </w:pPr>
      <w:r>
        <w:t>We will utilize the variables in our dataset to build several predictive models to forecast future stock returns. After constructing these models, we will evaluate their performance to determine which one offers the most accurate predictions.</w:t>
      </w:r>
    </w:p>
    <w:p w14:paraId="6465348A" w14:textId="77777777" w:rsidR="002B6735" w:rsidRDefault="00000000" w:rsidP="00603657">
      <w:pPr>
        <w:pStyle w:val="BodyText"/>
        <w:jc w:val="both"/>
      </w:pPr>
      <w:r>
        <w:t>We will assess the risk of each stock using the S&amp;P 500 as our benchmark. By calculating the beta for each stock, we can gain insights into the level of risk associated with each investment. Using these risk assessments alongside stock return predictions, we seek to identify the best investment recommendations based on both returns and risk. This analysis can also help guide investors in making decisions aligned with their individual risk tolerance.</w:t>
      </w:r>
    </w:p>
    <w:p w14:paraId="199D7F28" w14:textId="77777777" w:rsidR="002B6735" w:rsidRDefault="00000000">
      <w:pPr>
        <w:pStyle w:val="Heading1"/>
      </w:pPr>
      <w:bookmarkStart w:id="2" w:name="lit.-review"/>
      <w:bookmarkEnd w:id="1"/>
      <w:r>
        <w:lastRenderedPageBreak/>
        <w:t>Lit. Review</w:t>
      </w:r>
    </w:p>
    <w:p w14:paraId="5D560C63" w14:textId="77777777" w:rsidR="002B6735" w:rsidRDefault="00000000" w:rsidP="00603657">
      <w:pPr>
        <w:pStyle w:val="BodyText"/>
        <w:jc w:val="both"/>
      </w:pPr>
      <w:r>
        <w:t>This article explores several advanced machine learning models for stock price forecasting—approaches we haven’t yet used in our project but that offer valuable insights into different paths toward achieving similar goals. In our MSDA program, we’re currently learning about CNNs and how they work to detect cyberbullying by processing images, a completely different application than stock forecasting, but it’s interesting to see the versatility of these models. The authors review models like Long Short-Term Memory (LSTM) and Convolutional Neural Networks (CNN), each with unique strengths in time series analysis. LSTM, for instance, overcomes traditional limitations in recurrent neural networks by retaining long-term dependencies, making it effective for capturing stock trends. An extension, Bidirectional LSTM (BLSTM), improves accuracy further by processing data in both forward and backward directions, helpful for understanding nuanced market shifts (Zonathan et al., 2020)​</w:t>
      </w:r>
    </w:p>
    <w:p w14:paraId="4926135F" w14:textId="77777777" w:rsidR="002B6735" w:rsidRDefault="00000000" w:rsidP="00603657">
      <w:pPr>
        <w:pStyle w:val="BodyText"/>
        <w:jc w:val="both"/>
      </w:pPr>
      <w:r>
        <w:t>In this study, CNN-based models were adapted for stock data by transforming one-dimensional time series into two-dimensional representations, allowing CNN to detect complex patterns. The CNNPred model, for example, demonstrated high accuracy on major indices like the S&amp;P 500, illustrating how CNN can be effectively applied to stock data.</w:t>
      </w:r>
    </w:p>
    <w:p w14:paraId="54C20272" w14:textId="77777777" w:rsidR="002B6735" w:rsidRDefault="00000000" w:rsidP="00603657">
      <w:pPr>
        <w:pStyle w:val="BodyText"/>
        <w:jc w:val="both"/>
      </w:pPr>
      <w:r>
        <w:t>The findings on hybrid CNN-LSTM models are particularly intriguing. By combining CNN’s feature extraction with LSTM’s temporal modeling, the CNN-LSTM model achieved the lowest RMSE score, showing strength in forecasting stock prices under volatile conditions. While our project hasn’t yet explored such hybrid models, this study shows there are multiple, innovative ways we could leverage these models as we refine our forecasting objectives​</w:t>
      </w:r>
    </w:p>
    <w:p w14:paraId="31E4AE93" w14:textId="77777777" w:rsidR="002B6735" w:rsidRDefault="00000000">
      <w:pPr>
        <w:pStyle w:val="Heading1"/>
      </w:pPr>
      <w:bookmarkStart w:id="3" w:name="methods"/>
      <w:bookmarkEnd w:id="2"/>
      <w:r>
        <w:t>Methods</w:t>
      </w:r>
    </w:p>
    <w:p w14:paraId="42B81761" w14:textId="77777777" w:rsidR="00AA464D" w:rsidRDefault="00AA464D" w:rsidP="00AA464D">
      <w:pPr>
        <w:pStyle w:val="Heading2"/>
      </w:pPr>
      <w:bookmarkStart w:id="4" w:name="lm"/>
      <w:bookmarkStart w:id="5" w:name="svr"/>
      <w:r>
        <w:t>LM</w:t>
      </w:r>
      <w:bookmarkEnd w:id="4"/>
    </w:p>
    <w:p w14:paraId="2B65B443" w14:textId="77777777" w:rsidR="00AA464D" w:rsidRDefault="00AA464D" w:rsidP="00AA464D">
      <w:pPr>
        <w:pStyle w:val="BodyText"/>
        <w:jc w:val="both"/>
      </w:pPr>
      <w:r>
        <w:t>Since our problem involved regression, we opted for a linear model, which is well-suited for understanding straightforward relationships between features and the target variable. Linear models offer clear interpretability, making it easier to understand the impact of each feature on the outcome.</w:t>
      </w:r>
    </w:p>
    <w:p w14:paraId="77C147E0" w14:textId="77777777" w:rsidR="00AA464D" w:rsidRPr="00BD4FD4" w:rsidRDefault="00AA464D" w:rsidP="00AA464D">
      <w:pPr>
        <w:pStyle w:val="BodyText"/>
        <w:jc w:val="both"/>
      </w:pPr>
      <w:r>
        <w:t>To improve model accuracy and reduce complexity, we focused on feature selection by identifying and removing highly collinear variables. Collinearity can inflate coefficient estimates and lead to unstable results, so we examined variance inflation factors (VIF) and removed predictors with high VIF values to ensure a more stable model.</w:t>
      </w:r>
    </w:p>
    <w:p w14:paraId="4616136E" w14:textId="078BCCA2" w:rsidR="00AA464D" w:rsidRDefault="00DD21E5" w:rsidP="00AA464D">
      <w:pPr>
        <w:pStyle w:val="Heading2"/>
      </w:pPr>
      <w:bookmarkStart w:id="6" w:name="decision-trees"/>
      <w:r>
        <w:t xml:space="preserve">Regression </w:t>
      </w:r>
      <w:r w:rsidR="00AA464D">
        <w:t>Decision Trees</w:t>
      </w:r>
    </w:p>
    <w:p w14:paraId="19B15289" w14:textId="6290FC7C" w:rsidR="00AA464D" w:rsidRDefault="00DD21E5" w:rsidP="00AA464D">
      <w:pPr>
        <w:pStyle w:val="BodyText"/>
      </w:pPr>
      <w:r>
        <w:t xml:space="preserve"> </w:t>
      </w:r>
      <w:bookmarkEnd w:id="6"/>
      <w:r>
        <w:t xml:space="preserve">A Regression Decision tree was used to predict the percent change in next </w:t>
      </w:r>
      <w:proofErr w:type="gramStart"/>
      <w:r>
        <w:t>week</w:t>
      </w:r>
      <w:proofErr w:type="gramEnd"/>
      <w:r>
        <w:t xml:space="preserve"> price using all the predictor variables except ‘quarter’, ‘date’, ‘next weeks open’, and ‘next weeks close’. We use built the tree using Q1 data and tested the model on Q2 data. The table below shows the RMSE provided for each stock to determine how well our tree predicted the stocks percent change of the upcoming week. With this decision tree model, we can support our decision with what stock we </w:t>
      </w:r>
      <w:r>
        <w:lastRenderedPageBreak/>
        <w:t xml:space="preserve">believe will have the best return as it allows us to be more confident in our stock decisions. From the output below, we see the top 5 stocks with the smallest RMSE are, KO, WMT, TRV, T, and IBM. </w:t>
      </w:r>
    </w:p>
    <w:p w14:paraId="63326496" w14:textId="1F49C45B" w:rsidR="00DD21E5" w:rsidRDefault="00DD21E5" w:rsidP="00AA464D">
      <w:pPr>
        <w:pStyle w:val="BodyText"/>
      </w:pPr>
      <w:r>
        <w:t xml:space="preserve"> </w:t>
      </w:r>
    </w:p>
    <w:p w14:paraId="6A9C9044" w14:textId="5CAAA60E" w:rsidR="002B6735" w:rsidRDefault="00000000">
      <w:pPr>
        <w:pStyle w:val="Heading2"/>
      </w:pPr>
      <w:r>
        <w:t>SVR</w:t>
      </w:r>
    </w:p>
    <w:p w14:paraId="4252122E" w14:textId="7A50B22F" w:rsidR="00BD4FD4" w:rsidRPr="00BD4FD4" w:rsidRDefault="00BD4FD4" w:rsidP="00BD4FD4">
      <w:pPr>
        <w:pStyle w:val="BodyText"/>
        <w:jc w:val="both"/>
      </w:pPr>
      <w:r w:rsidRPr="00BD4FD4">
        <w:t>Due to the regression nature of this problem, we needed to use an SVM variant that handles regression tasks. SVMs are flexible because they offer different kernel types to fit different data relationships. For this project, we chose the Radial Basis Function (RBF) kernel, which is well-suited for non-linear relationships and works well with various data distributions. During model building, we tested multiple combinations of cost and gamma to find the best-performing model. We also centered and scaled the data, since SVMs are sensitive to variable scales, which helped improve the model’s performance.</w:t>
      </w:r>
    </w:p>
    <w:p w14:paraId="19E5D069" w14:textId="2EA2B55F" w:rsidR="002B6735" w:rsidRDefault="00000000">
      <w:pPr>
        <w:pStyle w:val="Heading2"/>
      </w:pPr>
      <w:bookmarkStart w:id="7" w:name="capital-assest-pricing-model"/>
      <w:bookmarkEnd w:id="5"/>
      <w:r>
        <w:t>Capital Asset Pricing Model</w:t>
      </w:r>
    </w:p>
    <w:p w14:paraId="33F51668" w14:textId="1D5778ED" w:rsidR="004249B3" w:rsidRDefault="004249B3" w:rsidP="00603657">
      <w:pPr>
        <w:pStyle w:val="BodyText"/>
        <w:jc w:val="both"/>
      </w:pPr>
      <w:r w:rsidRPr="004249B3">
        <w:t>We used the Capital Asset Pricing Model (CAPM) to understand the risk of each stock by analyzing its beta, which measures its volatility relative to the market. CAPM assumes that markets are efficient and that there is a direct, linear relationship between risk and expected return. However, the model has certain limitations. It relies on historical data, from this case study and S&amp;P 500 data from Yahoo Finance</w:t>
      </w:r>
      <w:r>
        <w:t xml:space="preserve"> (where we extracted the data)</w:t>
      </w:r>
      <w:r w:rsidRPr="004249B3">
        <w:t>, which may not fully capture future volatility. Additionally, CAPM only accounts for market risk, overlooking other factors such as company-specific risks and economic influences that can also impact returns.</w:t>
      </w:r>
    </w:p>
    <w:p w14:paraId="367C343B" w14:textId="63197CBA" w:rsidR="006417AB" w:rsidRDefault="00000000" w:rsidP="006417AB">
      <w:pPr>
        <w:pStyle w:val="BodyText"/>
        <w:jc w:val="both"/>
      </w:pPr>
      <w:r>
        <w:t>To calculate the results in the below image, we filtered the data by stock so we could apply th</w:t>
      </w:r>
      <w:r w:rsidR="00433B29">
        <w:t>e</w:t>
      </w:r>
      <w:r>
        <w:t xml:space="preserve"> Delt() function to calculate the returns using the closing price for each specific week. Once we calculated the weekly returns and omited any NA, we ran the linear model </w:t>
      </w:r>
      <w:r w:rsidR="004249B3">
        <w:t>to get the beta for each stock.</w:t>
      </w:r>
      <w:bookmarkStart w:id="8" w:name="data"/>
      <w:bookmarkEnd w:id="3"/>
      <w:bookmarkEnd w:id="7"/>
    </w:p>
    <w:p w14:paraId="599AB94C" w14:textId="77497BFE" w:rsidR="006417AB" w:rsidRPr="006417AB" w:rsidRDefault="006417AB" w:rsidP="006417AB">
      <w:pPr>
        <w:pStyle w:val="BodyText"/>
        <w:jc w:val="both"/>
      </w:pPr>
      <w:r w:rsidRPr="006417AB">
        <w:t xml:space="preserve">Our beta calculations (see table in appendix) reveal a range of values for various stocks relative to the S&amp;P 500. Stocks like </w:t>
      </w:r>
      <w:r w:rsidRPr="006417AB">
        <w:rPr>
          <w:b/>
          <w:bCs/>
        </w:rPr>
        <w:t>BAC (0.9536)</w:t>
      </w:r>
      <w:r w:rsidRPr="006417AB">
        <w:t xml:space="preserve"> and </w:t>
      </w:r>
      <w:r w:rsidRPr="006417AB">
        <w:rPr>
          <w:b/>
          <w:bCs/>
        </w:rPr>
        <w:t>HPQ (0.8437)</w:t>
      </w:r>
      <w:r w:rsidRPr="006417AB">
        <w:t xml:space="preserve"> have higher positive betas, indicating they closely follow market trends. In contrast, </w:t>
      </w:r>
      <w:r w:rsidRPr="006417AB">
        <w:rPr>
          <w:b/>
          <w:bCs/>
        </w:rPr>
        <w:t>PG (-0.0008)</w:t>
      </w:r>
      <w:r w:rsidRPr="006417AB">
        <w:t xml:space="preserve"> and </w:t>
      </w:r>
      <w:r w:rsidRPr="006417AB">
        <w:rPr>
          <w:b/>
          <w:bCs/>
        </w:rPr>
        <w:t>XOM (-0.0038)</w:t>
      </w:r>
      <w:r w:rsidRPr="006417AB">
        <w:t xml:space="preserve"> have near-zero betas, suggesting minimal correlation with the market, which can provide portfolio stability. Notably, </w:t>
      </w:r>
      <w:r w:rsidRPr="006417AB">
        <w:rPr>
          <w:b/>
          <w:bCs/>
        </w:rPr>
        <w:t>INTC</w:t>
      </w:r>
      <w:r>
        <w:rPr>
          <w:b/>
          <w:bCs/>
        </w:rPr>
        <w:t xml:space="preserve"> </w:t>
      </w:r>
      <w:r w:rsidRPr="006417AB">
        <w:rPr>
          <w:b/>
          <w:bCs/>
        </w:rPr>
        <w:t>(-0.9063)</w:t>
      </w:r>
      <w:r w:rsidRPr="006417AB">
        <w:t xml:space="preserve"> shows a strongly negative beta, indicating an inverse relationship to the market and potentially serving as a hedge during downturns. This range of risk and correlation profiles will be used alongside predicted returns to recommend investment decisions that align with expected returns and our client's risk tolerance.</w:t>
      </w:r>
    </w:p>
    <w:p w14:paraId="05FA3B38" w14:textId="17455356" w:rsidR="002B6735" w:rsidRDefault="00000000">
      <w:pPr>
        <w:pStyle w:val="Heading1"/>
      </w:pPr>
      <w:r>
        <w:t>Data</w:t>
      </w:r>
    </w:p>
    <w:p w14:paraId="24AC505E" w14:textId="689105D1" w:rsidR="00555196" w:rsidRDefault="00555196" w:rsidP="00603657">
      <w:pPr>
        <w:pStyle w:val="BodyText"/>
        <w:jc w:val="both"/>
      </w:pPr>
      <w:r w:rsidRPr="00555196">
        <w:t>Our dataset is fairly intact, with only 60 total NA values across two columns: 30 in percent_change_volume_over_last_wk and 30 in previous_weeks_volume. These NAs occur because they correspond to the first week of data, where there is no previous week to calculate the volume change so we decided to omit the NAs. The dataset contains 750 observations and 16 variables, which we will split by quarters: quarter one will be used for training, and quarter two for testing. While the data was intact we needed to clean the data using lubridate package to convert a text-</w:t>
      </w:r>
      <w:r w:rsidRPr="00555196">
        <w:lastRenderedPageBreak/>
        <w:t>based date and removed '$' symbols from numerical variables to ensure data accuracy. During preprocessing we needed to scale the data at points to meet assumptions of the models we used.</w:t>
      </w:r>
    </w:p>
    <w:p w14:paraId="2172E3F3" w14:textId="77777777" w:rsidR="00466335" w:rsidRDefault="00466335">
      <w:pPr>
        <w:pStyle w:val="Heading1"/>
      </w:pPr>
      <w:bookmarkStart w:id="9" w:name="results"/>
      <w:bookmarkEnd w:id="8"/>
    </w:p>
    <w:p w14:paraId="463F7AED" w14:textId="24A4B6FA" w:rsidR="00466335" w:rsidRDefault="00000000" w:rsidP="00E24FB0">
      <w:pPr>
        <w:pStyle w:val="Heading1"/>
      </w:pPr>
      <w:r>
        <w:t>Results</w:t>
      </w:r>
    </w:p>
    <w:p w14:paraId="199D0D82" w14:textId="77777777" w:rsidR="00E24FB0" w:rsidRPr="00E24FB0" w:rsidRDefault="00E24FB0" w:rsidP="00E24FB0">
      <w:pPr>
        <w:pStyle w:val="BodyText"/>
      </w:pPr>
    </w:p>
    <w:tbl>
      <w:tblPr>
        <w:tblW w:w="5540" w:type="dxa"/>
        <w:jc w:val="center"/>
        <w:tblLook w:val="04A0" w:firstRow="1" w:lastRow="0" w:firstColumn="1" w:lastColumn="0" w:noHBand="0" w:noVBand="1"/>
      </w:tblPr>
      <w:tblGrid>
        <w:gridCol w:w="1460"/>
        <w:gridCol w:w="1360"/>
        <w:gridCol w:w="1360"/>
        <w:gridCol w:w="1390"/>
      </w:tblGrid>
      <w:tr w:rsidR="00466335" w:rsidRPr="00466335" w14:paraId="09293D16" w14:textId="77777777" w:rsidTr="00E24FB0">
        <w:trPr>
          <w:trHeight w:val="300"/>
          <w:jc w:val="center"/>
        </w:trPr>
        <w:tc>
          <w:tcPr>
            <w:tcW w:w="1460" w:type="dxa"/>
            <w:tcBorders>
              <w:top w:val="single" w:sz="8" w:space="0" w:color="auto"/>
              <w:left w:val="single" w:sz="8" w:space="0" w:color="auto"/>
              <w:bottom w:val="nil"/>
              <w:right w:val="nil"/>
            </w:tcBorders>
            <w:shd w:val="clear" w:color="000000" w:fill="808080"/>
            <w:noWrap/>
            <w:vAlign w:val="bottom"/>
            <w:hideMark/>
          </w:tcPr>
          <w:p w14:paraId="0C5BB9FB" w14:textId="77777777" w:rsidR="00466335" w:rsidRPr="00466335" w:rsidRDefault="00466335" w:rsidP="00466335">
            <w:pPr>
              <w:spacing w:after="0"/>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Stock</w:t>
            </w:r>
          </w:p>
        </w:tc>
        <w:tc>
          <w:tcPr>
            <w:tcW w:w="1360" w:type="dxa"/>
            <w:tcBorders>
              <w:top w:val="single" w:sz="8" w:space="0" w:color="auto"/>
              <w:left w:val="single" w:sz="8" w:space="0" w:color="auto"/>
              <w:bottom w:val="nil"/>
              <w:right w:val="nil"/>
            </w:tcBorders>
            <w:shd w:val="clear" w:color="000000" w:fill="808080"/>
            <w:noWrap/>
            <w:vAlign w:val="bottom"/>
            <w:hideMark/>
          </w:tcPr>
          <w:p w14:paraId="35FA8A88"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LM RMSE</w:t>
            </w:r>
          </w:p>
        </w:tc>
        <w:tc>
          <w:tcPr>
            <w:tcW w:w="1360" w:type="dxa"/>
            <w:tcBorders>
              <w:top w:val="single" w:sz="8" w:space="0" w:color="auto"/>
              <w:left w:val="single" w:sz="8" w:space="0" w:color="auto"/>
              <w:bottom w:val="nil"/>
              <w:right w:val="single" w:sz="8" w:space="0" w:color="auto"/>
            </w:tcBorders>
            <w:shd w:val="clear" w:color="000000" w:fill="808080"/>
            <w:noWrap/>
            <w:vAlign w:val="bottom"/>
            <w:hideMark/>
          </w:tcPr>
          <w:p w14:paraId="67A14DA8"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SVR RMSE</w:t>
            </w:r>
          </w:p>
        </w:tc>
        <w:tc>
          <w:tcPr>
            <w:tcW w:w="1360" w:type="dxa"/>
            <w:tcBorders>
              <w:top w:val="single" w:sz="8" w:space="0" w:color="auto"/>
              <w:left w:val="nil"/>
              <w:bottom w:val="nil"/>
              <w:right w:val="single" w:sz="8" w:space="0" w:color="auto"/>
            </w:tcBorders>
            <w:shd w:val="clear" w:color="000000" w:fill="808080"/>
            <w:noWrap/>
            <w:vAlign w:val="bottom"/>
            <w:hideMark/>
          </w:tcPr>
          <w:p w14:paraId="322D2676"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DT RMSE</w:t>
            </w:r>
          </w:p>
        </w:tc>
      </w:tr>
      <w:tr w:rsidR="00466335" w:rsidRPr="00466335" w14:paraId="5FBC844F" w14:textId="77777777" w:rsidTr="00E24FB0">
        <w:trPr>
          <w:trHeight w:val="290"/>
          <w:jc w:val="center"/>
        </w:trPr>
        <w:tc>
          <w:tcPr>
            <w:tcW w:w="1460" w:type="dxa"/>
            <w:tcBorders>
              <w:top w:val="single" w:sz="8" w:space="0" w:color="auto"/>
              <w:left w:val="single" w:sz="8" w:space="0" w:color="auto"/>
              <w:bottom w:val="nil"/>
              <w:right w:val="nil"/>
            </w:tcBorders>
            <w:shd w:val="clear" w:color="auto" w:fill="auto"/>
            <w:noWrap/>
            <w:vAlign w:val="bottom"/>
            <w:hideMark/>
          </w:tcPr>
          <w:p w14:paraId="0E191BA9"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AA</w:t>
            </w:r>
          </w:p>
        </w:tc>
        <w:tc>
          <w:tcPr>
            <w:tcW w:w="1360" w:type="dxa"/>
            <w:tcBorders>
              <w:top w:val="single" w:sz="8" w:space="0" w:color="auto"/>
              <w:left w:val="single" w:sz="8" w:space="0" w:color="auto"/>
              <w:bottom w:val="nil"/>
              <w:right w:val="nil"/>
            </w:tcBorders>
            <w:shd w:val="clear" w:color="auto" w:fill="auto"/>
            <w:noWrap/>
            <w:vAlign w:val="bottom"/>
            <w:hideMark/>
          </w:tcPr>
          <w:p w14:paraId="7446CB6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126671324</w:t>
            </w:r>
          </w:p>
        </w:tc>
        <w:tc>
          <w:tcPr>
            <w:tcW w:w="1360" w:type="dxa"/>
            <w:tcBorders>
              <w:top w:val="single" w:sz="8" w:space="0" w:color="auto"/>
              <w:left w:val="single" w:sz="8" w:space="0" w:color="auto"/>
              <w:bottom w:val="nil"/>
              <w:right w:val="single" w:sz="8" w:space="0" w:color="auto"/>
            </w:tcBorders>
            <w:shd w:val="clear" w:color="auto" w:fill="auto"/>
            <w:noWrap/>
            <w:vAlign w:val="bottom"/>
            <w:hideMark/>
          </w:tcPr>
          <w:p w14:paraId="5AF52FC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126671324</w:t>
            </w:r>
          </w:p>
        </w:tc>
        <w:tc>
          <w:tcPr>
            <w:tcW w:w="1360" w:type="dxa"/>
            <w:tcBorders>
              <w:top w:val="single" w:sz="8" w:space="0" w:color="auto"/>
              <w:left w:val="nil"/>
              <w:bottom w:val="nil"/>
              <w:right w:val="single" w:sz="8" w:space="0" w:color="auto"/>
            </w:tcBorders>
            <w:shd w:val="clear" w:color="auto" w:fill="auto"/>
            <w:noWrap/>
            <w:vAlign w:val="bottom"/>
            <w:hideMark/>
          </w:tcPr>
          <w:p w14:paraId="0B3733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20.05021</w:t>
            </w:r>
          </w:p>
        </w:tc>
      </w:tr>
      <w:tr w:rsidR="00466335" w:rsidRPr="00466335" w14:paraId="51F12227"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5E2CAEE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AXP</w:t>
            </w:r>
          </w:p>
        </w:tc>
        <w:tc>
          <w:tcPr>
            <w:tcW w:w="1360" w:type="dxa"/>
            <w:tcBorders>
              <w:top w:val="nil"/>
              <w:left w:val="single" w:sz="8" w:space="0" w:color="auto"/>
              <w:bottom w:val="nil"/>
              <w:right w:val="nil"/>
            </w:tcBorders>
            <w:shd w:val="clear" w:color="auto" w:fill="auto"/>
            <w:noWrap/>
            <w:vAlign w:val="bottom"/>
            <w:hideMark/>
          </w:tcPr>
          <w:p w14:paraId="733DC1F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32653797</w:t>
            </w:r>
          </w:p>
        </w:tc>
        <w:tc>
          <w:tcPr>
            <w:tcW w:w="1360" w:type="dxa"/>
            <w:tcBorders>
              <w:top w:val="nil"/>
              <w:left w:val="single" w:sz="8" w:space="0" w:color="auto"/>
              <w:bottom w:val="nil"/>
              <w:right w:val="single" w:sz="8" w:space="0" w:color="auto"/>
            </w:tcBorders>
            <w:shd w:val="clear" w:color="auto" w:fill="auto"/>
            <w:noWrap/>
            <w:vAlign w:val="bottom"/>
            <w:hideMark/>
          </w:tcPr>
          <w:p w14:paraId="2346B42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32653800</w:t>
            </w:r>
          </w:p>
        </w:tc>
        <w:tc>
          <w:tcPr>
            <w:tcW w:w="1360" w:type="dxa"/>
            <w:tcBorders>
              <w:top w:val="nil"/>
              <w:left w:val="nil"/>
              <w:bottom w:val="nil"/>
              <w:right w:val="single" w:sz="8" w:space="0" w:color="auto"/>
            </w:tcBorders>
            <w:shd w:val="clear" w:color="auto" w:fill="auto"/>
            <w:noWrap/>
            <w:vAlign w:val="bottom"/>
            <w:hideMark/>
          </w:tcPr>
          <w:p w14:paraId="6A797E5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17.755682</w:t>
            </w:r>
          </w:p>
        </w:tc>
      </w:tr>
      <w:tr w:rsidR="00466335" w:rsidRPr="00466335" w14:paraId="2E9E75B1"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2AB81BBE"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BA</w:t>
            </w:r>
          </w:p>
        </w:tc>
        <w:tc>
          <w:tcPr>
            <w:tcW w:w="1360" w:type="dxa"/>
            <w:tcBorders>
              <w:top w:val="nil"/>
              <w:left w:val="single" w:sz="8" w:space="0" w:color="auto"/>
              <w:bottom w:val="nil"/>
              <w:right w:val="nil"/>
            </w:tcBorders>
            <w:shd w:val="clear" w:color="auto" w:fill="auto"/>
            <w:noWrap/>
            <w:vAlign w:val="bottom"/>
            <w:hideMark/>
          </w:tcPr>
          <w:p w14:paraId="740D1F3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22107483</w:t>
            </w:r>
          </w:p>
        </w:tc>
        <w:tc>
          <w:tcPr>
            <w:tcW w:w="1360" w:type="dxa"/>
            <w:tcBorders>
              <w:top w:val="nil"/>
              <w:left w:val="single" w:sz="8" w:space="0" w:color="auto"/>
              <w:bottom w:val="nil"/>
              <w:right w:val="single" w:sz="8" w:space="0" w:color="auto"/>
            </w:tcBorders>
            <w:shd w:val="clear" w:color="auto" w:fill="auto"/>
            <w:noWrap/>
            <w:vAlign w:val="bottom"/>
            <w:hideMark/>
          </w:tcPr>
          <w:p w14:paraId="3674517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22107487</w:t>
            </w:r>
          </w:p>
        </w:tc>
        <w:tc>
          <w:tcPr>
            <w:tcW w:w="1360" w:type="dxa"/>
            <w:tcBorders>
              <w:top w:val="nil"/>
              <w:left w:val="nil"/>
              <w:bottom w:val="nil"/>
              <w:right w:val="single" w:sz="8" w:space="0" w:color="auto"/>
            </w:tcBorders>
            <w:shd w:val="clear" w:color="auto" w:fill="auto"/>
            <w:noWrap/>
            <w:vAlign w:val="bottom"/>
            <w:hideMark/>
          </w:tcPr>
          <w:p w14:paraId="2766D24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9.233646</w:t>
            </w:r>
          </w:p>
        </w:tc>
      </w:tr>
      <w:tr w:rsidR="00466335" w:rsidRPr="00466335" w14:paraId="2E15DDA5"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1015D71A"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BAC</w:t>
            </w:r>
          </w:p>
        </w:tc>
        <w:tc>
          <w:tcPr>
            <w:tcW w:w="1360" w:type="dxa"/>
            <w:tcBorders>
              <w:top w:val="nil"/>
              <w:left w:val="single" w:sz="8" w:space="0" w:color="auto"/>
              <w:bottom w:val="nil"/>
              <w:right w:val="nil"/>
            </w:tcBorders>
            <w:shd w:val="clear" w:color="auto" w:fill="auto"/>
            <w:noWrap/>
            <w:vAlign w:val="bottom"/>
            <w:hideMark/>
          </w:tcPr>
          <w:p w14:paraId="30E9C51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637938743</w:t>
            </w:r>
          </w:p>
        </w:tc>
        <w:tc>
          <w:tcPr>
            <w:tcW w:w="1360" w:type="dxa"/>
            <w:tcBorders>
              <w:top w:val="nil"/>
              <w:left w:val="single" w:sz="8" w:space="0" w:color="auto"/>
              <w:bottom w:val="nil"/>
              <w:right w:val="single" w:sz="8" w:space="0" w:color="auto"/>
            </w:tcBorders>
            <w:shd w:val="clear" w:color="auto" w:fill="auto"/>
            <w:noWrap/>
            <w:vAlign w:val="bottom"/>
            <w:hideMark/>
          </w:tcPr>
          <w:p w14:paraId="133A78C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637938739</w:t>
            </w:r>
          </w:p>
        </w:tc>
        <w:tc>
          <w:tcPr>
            <w:tcW w:w="1360" w:type="dxa"/>
            <w:tcBorders>
              <w:top w:val="nil"/>
              <w:left w:val="nil"/>
              <w:bottom w:val="nil"/>
              <w:right w:val="single" w:sz="8" w:space="0" w:color="auto"/>
            </w:tcBorders>
            <w:shd w:val="clear" w:color="auto" w:fill="auto"/>
            <w:noWrap/>
            <w:vAlign w:val="bottom"/>
            <w:hideMark/>
          </w:tcPr>
          <w:p w14:paraId="4538C62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11.861849</w:t>
            </w:r>
          </w:p>
        </w:tc>
      </w:tr>
      <w:tr w:rsidR="00466335" w:rsidRPr="00466335" w14:paraId="4CF99BA0"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17E4CDD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CAT</w:t>
            </w:r>
          </w:p>
        </w:tc>
        <w:tc>
          <w:tcPr>
            <w:tcW w:w="1360" w:type="dxa"/>
            <w:tcBorders>
              <w:top w:val="nil"/>
              <w:left w:val="single" w:sz="8" w:space="0" w:color="auto"/>
              <w:bottom w:val="nil"/>
              <w:right w:val="nil"/>
            </w:tcBorders>
            <w:shd w:val="clear" w:color="auto" w:fill="auto"/>
            <w:noWrap/>
            <w:vAlign w:val="bottom"/>
            <w:hideMark/>
          </w:tcPr>
          <w:p w14:paraId="3FBAB01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37163364</w:t>
            </w:r>
          </w:p>
        </w:tc>
        <w:tc>
          <w:tcPr>
            <w:tcW w:w="1360" w:type="dxa"/>
            <w:tcBorders>
              <w:top w:val="nil"/>
              <w:left w:val="single" w:sz="8" w:space="0" w:color="auto"/>
              <w:bottom w:val="nil"/>
              <w:right w:val="single" w:sz="8" w:space="0" w:color="auto"/>
            </w:tcBorders>
            <w:shd w:val="clear" w:color="auto" w:fill="auto"/>
            <w:noWrap/>
            <w:vAlign w:val="bottom"/>
            <w:hideMark/>
          </w:tcPr>
          <w:p w14:paraId="78013DA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37163365</w:t>
            </w:r>
          </w:p>
        </w:tc>
        <w:tc>
          <w:tcPr>
            <w:tcW w:w="1360" w:type="dxa"/>
            <w:tcBorders>
              <w:top w:val="nil"/>
              <w:left w:val="nil"/>
              <w:bottom w:val="nil"/>
              <w:right w:val="single" w:sz="8" w:space="0" w:color="auto"/>
            </w:tcBorders>
            <w:shd w:val="clear" w:color="auto" w:fill="auto"/>
            <w:noWrap/>
            <w:vAlign w:val="bottom"/>
            <w:hideMark/>
          </w:tcPr>
          <w:p w14:paraId="62A7732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22.258886</w:t>
            </w:r>
          </w:p>
        </w:tc>
      </w:tr>
      <w:tr w:rsidR="00466335" w:rsidRPr="00466335" w14:paraId="3F1732A2"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1ED417A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CSCO</w:t>
            </w:r>
          </w:p>
        </w:tc>
        <w:tc>
          <w:tcPr>
            <w:tcW w:w="1360" w:type="dxa"/>
            <w:tcBorders>
              <w:top w:val="nil"/>
              <w:left w:val="single" w:sz="8" w:space="0" w:color="auto"/>
              <w:bottom w:val="nil"/>
              <w:right w:val="nil"/>
            </w:tcBorders>
            <w:shd w:val="clear" w:color="auto" w:fill="auto"/>
            <w:noWrap/>
            <w:vAlign w:val="bottom"/>
            <w:hideMark/>
          </w:tcPr>
          <w:p w14:paraId="499C22E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382385019</w:t>
            </w:r>
          </w:p>
        </w:tc>
        <w:tc>
          <w:tcPr>
            <w:tcW w:w="1360" w:type="dxa"/>
            <w:tcBorders>
              <w:top w:val="nil"/>
              <w:left w:val="single" w:sz="8" w:space="0" w:color="auto"/>
              <w:bottom w:val="nil"/>
              <w:right w:val="single" w:sz="8" w:space="0" w:color="auto"/>
            </w:tcBorders>
            <w:shd w:val="clear" w:color="auto" w:fill="auto"/>
            <w:noWrap/>
            <w:vAlign w:val="bottom"/>
            <w:hideMark/>
          </w:tcPr>
          <w:p w14:paraId="05F4E65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382385017</w:t>
            </w:r>
          </w:p>
        </w:tc>
        <w:tc>
          <w:tcPr>
            <w:tcW w:w="1360" w:type="dxa"/>
            <w:tcBorders>
              <w:top w:val="nil"/>
              <w:left w:val="nil"/>
              <w:bottom w:val="nil"/>
              <w:right w:val="single" w:sz="8" w:space="0" w:color="auto"/>
            </w:tcBorders>
            <w:shd w:val="clear" w:color="auto" w:fill="auto"/>
            <w:noWrap/>
            <w:vAlign w:val="bottom"/>
            <w:hideMark/>
          </w:tcPr>
          <w:p w14:paraId="1F3493CF"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17.437448</w:t>
            </w:r>
          </w:p>
        </w:tc>
      </w:tr>
      <w:tr w:rsidR="00466335" w:rsidRPr="00466335" w14:paraId="1F3D2726"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77FE40CC"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CVX</w:t>
            </w:r>
          </w:p>
        </w:tc>
        <w:tc>
          <w:tcPr>
            <w:tcW w:w="1360" w:type="dxa"/>
            <w:tcBorders>
              <w:top w:val="nil"/>
              <w:left w:val="single" w:sz="8" w:space="0" w:color="auto"/>
              <w:bottom w:val="nil"/>
              <w:right w:val="nil"/>
            </w:tcBorders>
            <w:shd w:val="clear" w:color="auto" w:fill="auto"/>
            <w:noWrap/>
            <w:vAlign w:val="bottom"/>
            <w:hideMark/>
          </w:tcPr>
          <w:p w14:paraId="7008CB0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36898553</w:t>
            </w:r>
          </w:p>
        </w:tc>
        <w:tc>
          <w:tcPr>
            <w:tcW w:w="1360" w:type="dxa"/>
            <w:tcBorders>
              <w:top w:val="nil"/>
              <w:left w:val="single" w:sz="8" w:space="0" w:color="auto"/>
              <w:bottom w:val="nil"/>
              <w:right w:val="single" w:sz="8" w:space="0" w:color="auto"/>
            </w:tcBorders>
            <w:shd w:val="clear" w:color="auto" w:fill="auto"/>
            <w:noWrap/>
            <w:vAlign w:val="bottom"/>
            <w:hideMark/>
          </w:tcPr>
          <w:p w14:paraId="1C62456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36898556</w:t>
            </w:r>
          </w:p>
        </w:tc>
        <w:tc>
          <w:tcPr>
            <w:tcW w:w="1360" w:type="dxa"/>
            <w:tcBorders>
              <w:top w:val="nil"/>
              <w:left w:val="nil"/>
              <w:bottom w:val="nil"/>
              <w:right w:val="single" w:sz="8" w:space="0" w:color="auto"/>
            </w:tcBorders>
            <w:shd w:val="clear" w:color="auto" w:fill="auto"/>
            <w:noWrap/>
            <w:vAlign w:val="bottom"/>
            <w:hideMark/>
          </w:tcPr>
          <w:p w14:paraId="010E5E1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12.606989</w:t>
            </w:r>
          </w:p>
        </w:tc>
      </w:tr>
      <w:tr w:rsidR="00466335" w:rsidRPr="00466335" w14:paraId="3321F748"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0813A185"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DD</w:t>
            </w:r>
          </w:p>
        </w:tc>
        <w:tc>
          <w:tcPr>
            <w:tcW w:w="1360" w:type="dxa"/>
            <w:tcBorders>
              <w:top w:val="nil"/>
              <w:left w:val="single" w:sz="8" w:space="0" w:color="auto"/>
              <w:bottom w:val="nil"/>
              <w:right w:val="nil"/>
            </w:tcBorders>
            <w:shd w:val="clear" w:color="auto" w:fill="auto"/>
            <w:noWrap/>
            <w:vAlign w:val="bottom"/>
            <w:hideMark/>
          </w:tcPr>
          <w:p w14:paraId="742819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26760786</w:t>
            </w:r>
          </w:p>
        </w:tc>
        <w:tc>
          <w:tcPr>
            <w:tcW w:w="1360" w:type="dxa"/>
            <w:tcBorders>
              <w:top w:val="nil"/>
              <w:left w:val="single" w:sz="8" w:space="0" w:color="auto"/>
              <w:bottom w:val="nil"/>
              <w:right w:val="single" w:sz="8" w:space="0" w:color="auto"/>
            </w:tcBorders>
            <w:shd w:val="clear" w:color="auto" w:fill="auto"/>
            <w:noWrap/>
            <w:vAlign w:val="bottom"/>
            <w:hideMark/>
          </w:tcPr>
          <w:p w14:paraId="416A5C6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26760786</w:t>
            </w:r>
          </w:p>
        </w:tc>
        <w:tc>
          <w:tcPr>
            <w:tcW w:w="1360" w:type="dxa"/>
            <w:tcBorders>
              <w:top w:val="nil"/>
              <w:left w:val="nil"/>
              <w:bottom w:val="nil"/>
              <w:right w:val="single" w:sz="8" w:space="0" w:color="auto"/>
            </w:tcBorders>
            <w:shd w:val="clear" w:color="auto" w:fill="auto"/>
            <w:noWrap/>
            <w:vAlign w:val="bottom"/>
            <w:hideMark/>
          </w:tcPr>
          <w:p w14:paraId="2867D9F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12.09519</w:t>
            </w:r>
          </w:p>
        </w:tc>
      </w:tr>
      <w:tr w:rsidR="00466335" w:rsidRPr="00466335" w14:paraId="3A3E073F"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3918461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DIS</w:t>
            </w:r>
          </w:p>
        </w:tc>
        <w:tc>
          <w:tcPr>
            <w:tcW w:w="1360" w:type="dxa"/>
            <w:tcBorders>
              <w:top w:val="nil"/>
              <w:left w:val="single" w:sz="8" w:space="0" w:color="auto"/>
              <w:bottom w:val="nil"/>
              <w:right w:val="nil"/>
            </w:tcBorders>
            <w:shd w:val="clear" w:color="auto" w:fill="auto"/>
            <w:noWrap/>
            <w:vAlign w:val="bottom"/>
            <w:hideMark/>
          </w:tcPr>
          <w:p w14:paraId="7346D93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46218461</w:t>
            </w:r>
          </w:p>
        </w:tc>
        <w:tc>
          <w:tcPr>
            <w:tcW w:w="1360" w:type="dxa"/>
            <w:tcBorders>
              <w:top w:val="nil"/>
              <w:left w:val="single" w:sz="8" w:space="0" w:color="auto"/>
              <w:bottom w:val="nil"/>
              <w:right w:val="single" w:sz="8" w:space="0" w:color="auto"/>
            </w:tcBorders>
            <w:shd w:val="clear" w:color="auto" w:fill="auto"/>
            <w:noWrap/>
            <w:vAlign w:val="bottom"/>
            <w:hideMark/>
          </w:tcPr>
          <w:p w14:paraId="0009126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46218460</w:t>
            </w:r>
          </w:p>
        </w:tc>
        <w:tc>
          <w:tcPr>
            <w:tcW w:w="1360" w:type="dxa"/>
            <w:tcBorders>
              <w:top w:val="nil"/>
              <w:left w:val="nil"/>
              <w:bottom w:val="nil"/>
              <w:right w:val="single" w:sz="8" w:space="0" w:color="auto"/>
            </w:tcBorders>
            <w:shd w:val="clear" w:color="auto" w:fill="auto"/>
            <w:noWrap/>
            <w:vAlign w:val="bottom"/>
            <w:hideMark/>
          </w:tcPr>
          <w:p w14:paraId="77134B5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15.726054</w:t>
            </w:r>
          </w:p>
        </w:tc>
      </w:tr>
      <w:tr w:rsidR="00466335" w:rsidRPr="00466335" w14:paraId="3CD05CA6"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78A8DDD1"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GE</w:t>
            </w:r>
          </w:p>
        </w:tc>
        <w:tc>
          <w:tcPr>
            <w:tcW w:w="1360" w:type="dxa"/>
            <w:tcBorders>
              <w:top w:val="nil"/>
              <w:left w:val="single" w:sz="8" w:space="0" w:color="auto"/>
              <w:bottom w:val="nil"/>
              <w:right w:val="nil"/>
            </w:tcBorders>
            <w:shd w:val="clear" w:color="auto" w:fill="auto"/>
            <w:noWrap/>
            <w:vAlign w:val="bottom"/>
            <w:hideMark/>
          </w:tcPr>
          <w:p w14:paraId="0152844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231874886</w:t>
            </w:r>
          </w:p>
        </w:tc>
        <w:tc>
          <w:tcPr>
            <w:tcW w:w="1360" w:type="dxa"/>
            <w:tcBorders>
              <w:top w:val="nil"/>
              <w:left w:val="single" w:sz="8" w:space="0" w:color="auto"/>
              <w:bottom w:val="nil"/>
              <w:right w:val="single" w:sz="8" w:space="0" w:color="auto"/>
            </w:tcBorders>
            <w:shd w:val="clear" w:color="auto" w:fill="auto"/>
            <w:noWrap/>
            <w:vAlign w:val="bottom"/>
            <w:hideMark/>
          </w:tcPr>
          <w:p w14:paraId="55A95A4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231874886</w:t>
            </w:r>
          </w:p>
        </w:tc>
        <w:tc>
          <w:tcPr>
            <w:tcW w:w="1360" w:type="dxa"/>
            <w:tcBorders>
              <w:top w:val="nil"/>
              <w:left w:val="nil"/>
              <w:bottom w:val="nil"/>
              <w:right w:val="single" w:sz="8" w:space="0" w:color="auto"/>
            </w:tcBorders>
            <w:shd w:val="clear" w:color="auto" w:fill="auto"/>
            <w:noWrap/>
            <w:vAlign w:val="bottom"/>
            <w:hideMark/>
          </w:tcPr>
          <w:p w14:paraId="5CF84DDF"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13.213855</w:t>
            </w:r>
          </w:p>
        </w:tc>
      </w:tr>
      <w:tr w:rsidR="00466335" w:rsidRPr="00466335" w14:paraId="37EABA5F"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207F10B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HD</w:t>
            </w:r>
          </w:p>
        </w:tc>
        <w:tc>
          <w:tcPr>
            <w:tcW w:w="1360" w:type="dxa"/>
            <w:tcBorders>
              <w:top w:val="nil"/>
              <w:left w:val="single" w:sz="8" w:space="0" w:color="auto"/>
              <w:bottom w:val="nil"/>
              <w:right w:val="nil"/>
            </w:tcBorders>
            <w:shd w:val="clear" w:color="auto" w:fill="auto"/>
            <w:noWrap/>
            <w:vAlign w:val="bottom"/>
            <w:hideMark/>
          </w:tcPr>
          <w:p w14:paraId="45B1101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51032386</w:t>
            </w:r>
          </w:p>
        </w:tc>
        <w:tc>
          <w:tcPr>
            <w:tcW w:w="1360" w:type="dxa"/>
            <w:tcBorders>
              <w:top w:val="nil"/>
              <w:left w:val="single" w:sz="8" w:space="0" w:color="auto"/>
              <w:bottom w:val="nil"/>
              <w:right w:val="single" w:sz="8" w:space="0" w:color="auto"/>
            </w:tcBorders>
            <w:shd w:val="clear" w:color="auto" w:fill="auto"/>
            <w:noWrap/>
            <w:vAlign w:val="bottom"/>
            <w:hideMark/>
          </w:tcPr>
          <w:p w14:paraId="34C3843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51032386</w:t>
            </w:r>
          </w:p>
        </w:tc>
        <w:tc>
          <w:tcPr>
            <w:tcW w:w="1360" w:type="dxa"/>
            <w:tcBorders>
              <w:top w:val="nil"/>
              <w:left w:val="nil"/>
              <w:bottom w:val="nil"/>
              <w:right w:val="single" w:sz="8" w:space="0" w:color="auto"/>
            </w:tcBorders>
            <w:shd w:val="clear" w:color="auto" w:fill="auto"/>
            <w:noWrap/>
            <w:vAlign w:val="bottom"/>
            <w:hideMark/>
          </w:tcPr>
          <w:p w14:paraId="4BB3485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7.480315</w:t>
            </w:r>
          </w:p>
        </w:tc>
      </w:tr>
      <w:tr w:rsidR="00466335" w:rsidRPr="00466335" w14:paraId="77A83C83"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42FCB204"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HPQ</w:t>
            </w:r>
          </w:p>
        </w:tc>
        <w:tc>
          <w:tcPr>
            <w:tcW w:w="1360" w:type="dxa"/>
            <w:tcBorders>
              <w:top w:val="nil"/>
              <w:left w:val="single" w:sz="8" w:space="0" w:color="auto"/>
              <w:bottom w:val="nil"/>
              <w:right w:val="nil"/>
            </w:tcBorders>
            <w:shd w:val="clear" w:color="auto" w:fill="auto"/>
            <w:noWrap/>
            <w:vAlign w:val="bottom"/>
            <w:hideMark/>
          </w:tcPr>
          <w:p w14:paraId="734625A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102925210</w:t>
            </w:r>
          </w:p>
        </w:tc>
        <w:tc>
          <w:tcPr>
            <w:tcW w:w="1360" w:type="dxa"/>
            <w:tcBorders>
              <w:top w:val="nil"/>
              <w:left w:val="single" w:sz="8" w:space="0" w:color="auto"/>
              <w:bottom w:val="nil"/>
              <w:right w:val="single" w:sz="8" w:space="0" w:color="auto"/>
            </w:tcBorders>
            <w:shd w:val="clear" w:color="auto" w:fill="auto"/>
            <w:noWrap/>
            <w:vAlign w:val="bottom"/>
            <w:hideMark/>
          </w:tcPr>
          <w:p w14:paraId="6520896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102925207</w:t>
            </w:r>
          </w:p>
        </w:tc>
        <w:tc>
          <w:tcPr>
            <w:tcW w:w="1360" w:type="dxa"/>
            <w:tcBorders>
              <w:top w:val="nil"/>
              <w:left w:val="nil"/>
              <w:bottom w:val="nil"/>
              <w:right w:val="single" w:sz="8" w:space="0" w:color="auto"/>
            </w:tcBorders>
            <w:shd w:val="clear" w:color="auto" w:fill="auto"/>
            <w:noWrap/>
            <w:vAlign w:val="bottom"/>
            <w:hideMark/>
          </w:tcPr>
          <w:p w14:paraId="2C453FA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19.219627</w:t>
            </w:r>
          </w:p>
        </w:tc>
      </w:tr>
      <w:tr w:rsidR="00466335" w:rsidRPr="00466335" w14:paraId="7C07D275"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0C26730A"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IBM</w:t>
            </w:r>
          </w:p>
        </w:tc>
        <w:tc>
          <w:tcPr>
            <w:tcW w:w="1360" w:type="dxa"/>
            <w:tcBorders>
              <w:top w:val="nil"/>
              <w:left w:val="single" w:sz="8" w:space="0" w:color="auto"/>
              <w:bottom w:val="nil"/>
              <w:right w:val="nil"/>
            </w:tcBorders>
            <w:shd w:val="clear" w:color="auto" w:fill="auto"/>
            <w:noWrap/>
            <w:vAlign w:val="bottom"/>
            <w:hideMark/>
          </w:tcPr>
          <w:p w14:paraId="3A180D7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23676034</w:t>
            </w:r>
          </w:p>
        </w:tc>
        <w:tc>
          <w:tcPr>
            <w:tcW w:w="1360" w:type="dxa"/>
            <w:tcBorders>
              <w:top w:val="nil"/>
              <w:left w:val="single" w:sz="8" w:space="0" w:color="auto"/>
              <w:bottom w:val="nil"/>
              <w:right w:val="single" w:sz="8" w:space="0" w:color="auto"/>
            </w:tcBorders>
            <w:shd w:val="clear" w:color="auto" w:fill="auto"/>
            <w:noWrap/>
            <w:vAlign w:val="bottom"/>
            <w:hideMark/>
          </w:tcPr>
          <w:p w14:paraId="47C8747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23676055</w:t>
            </w:r>
          </w:p>
        </w:tc>
        <w:tc>
          <w:tcPr>
            <w:tcW w:w="1360" w:type="dxa"/>
            <w:tcBorders>
              <w:top w:val="nil"/>
              <w:left w:val="nil"/>
              <w:bottom w:val="nil"/>
              <w:right w:val="single" w:sz="8" w:space="0" w:color="auto"/>
            </w:tcBorders>
            <w:shd w:val="clear" w:color="auto" w:fill="auto"/>
            <w:noWrap/>
            <w:vAlign w:val="bottom"/>
            <w:hideMark/>
          </w:tcPr>
          <w:p w14:paraId="702950A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4.836956</w:t>
            </w:r>
          </w:p>
        </w:tc>
      </w:tr>
      <w:tr w:rsidR="00466335" w:rsidRPr="00466335" w14:paraId="281046E4"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5321D0E8"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INTC</w:t>
            </w:r>
          </w:p>
        </w:tc>
        <w:tc>
          <w:tcPr>
            <w:tcW w:w="1360" w:type="dxa"/>
            <w:tcBorders>
              <w:top w:val="nil"/>
              <w:left w:val="single" w:sz="8" w:space="0" w:color="auto"/>
              <w:bottom w:val="nil"/>
              <w:right w:val="nil"/>
            </w:tcBorders>
            <w:shd w:val="clear" w:color="auto" w:fill="auto"/>
            <w:noWrap/>
            <w:vAlign w:val="bottom"/>
            <w:hideMark/>
          </w:tcPr>
          <w:p w14:paraId="53583E9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330452414</w:t>
            </w:r>
          </w:p>
        </w:tc>
        <w:tc>
          <w:tcPr>
            <w:tcW w:w="1360" w:type="dxa"/>
            <w:tcBorders>
              <w:top w:val="nil"/>
              <w:left w:val="single" w:sz="8" w:space="0" w:color="auto"/>
              <w:bottom w:val="nil"/>
              <w:right w:val="single" w:sz="8" w:space="0" w:color="auto"/>
            </w:tcBorders>
            <w:shd w:val="clear" w:color="auto" w:fill="auto"/>
            <w:noWrap/>
            <w:vAlign w:val="bottom"/>
            <w:hideMark/>
          </w:tcPr>
          <w:p w14:paraId="7B66907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330452413</w:t>
            </w:r>
          </w:p>
        </w:tc>
        <w:tc>
          <w:tcPr>
            <w:tcW w:w="1360" w:type="dxa"/>
            <w:tcBorders>
              <w:top w:val="nil"/>
              <w:left w:val="nil"/>
              <w:bottom w:val="nil"/>
              <w:right w:val="single" w:sz="8" w:space="0" w:color="auto"/>
            </w:tcBorders>
            <w:shd w:val="clear" w:color="auto" w:fill="auto"/>
            <w:noWrap/>
            <w:vAlign w:val="bottom"/>
            <w:hideMark/>
          </w:tcPr>
          <w:p w14:paraId="28C1A62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17.140916</w:t>
            </w:r>
          </w:p>
        </w:tc>
      </w:tr>
      <w:tr w:rsidR="00466335" w:rsidRPr="00466335" w14:paraId="416CAC59"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137C640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JNJ</w:t>
            </w:r>
          </w:p>
        </w:tc>
        <w:tc>
          <w:tcPr>
            <w:tcW w:w="1360" w:type="dxa"/>
            <w:tcBorders>
              <w:top w:val="nil"/>
              <w:left w:val="single" w:sz="8" w:space="0" w:color="auto"/>
              <w:bottom w:val="nil"/>
              <w:right w:val="nil"/>
            </w:tcBorders>
            <w:shd w:val="clear" w:color="auto" w:fill="auto"/>
            <w:noWrap/>
            <w:vAlign w:val="bottom"/>
            <w:hideMark/>
          </w:tcPr>
          <w:p w14:paraId="2617550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58363850</w:t>
            </w:r>
          </w:p>
        </w:tc>
        <w:tc>
          <w:tcPr>
            <w:tcW w:w="1360" w:type="dxa"/>
            <w:tcBorders>
              <w:top w:val="nil"/>
              <w:left w:val="single" w:sz="8" w:space="0" w:color="auto"/>
              <w:bottom w:val="nil"/>
              <w:right w:val="single" w:sz="8" w:space="0" w:color="auto"/>
            </w:tcBorders>
            <w:shd w:val="clear" w:color="auto" w:fill="auto"/>
            <w:noWrap/>
            <w:vAlign w:val="bottom"/>
            <w:hideMark/>
          </w:tcPr>
          <w:p w14:paraId="68252B7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58363852</w:t>
            </w:r>
          </w:p>
        </w:tc>
        <w:tc>
          <w:tcPr>
            <w:tcW w:w="1360" w:type="dxa"/>
            <w:tcBorders>
              <w:top w:val="nil"/>
              <w:left w:val="nil"/>
              <w:bottom w:val="nil"/>
              <w:right w:val="single" w:sz="8" w:space="0" w:color="auto"/>
            </w:tcBorders>
            <w:shd w:val="clear" w:color="auto" w:fill="auto"/>
            <w:noWrap/>
            <w:vAlign w:val="bottom"/>
            <w:hideMark/>
          </w:tcPr>
          <w:p w14:paraId="7500F96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8.691014</w:t>
            </w:r>
          </w:p>
        </w:tc>
      </w:tr>
      <w:tr w:rsidR="00466335" w:rsidRPr="00466335" w14:paraId="47DBE5AE"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011CBA9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JPM</w:t>
            </w:r>
          </w:p>
        </w:tc>
        <w:tc>
          <w:tcPr>
            <w:tcW w:w="1360" w:type="dxa"/>
            <w:tcBorders>
              <w:top w:val="nil"/>
              <w:left w:val="single" w:sz="8" w:space="0" w:color="auto"/>
              <w:bottom w:val="nil"/>
              <w:right w:val="nil"/>
            </w:tcBorders>
            <w:shd w:val="clear" w:color="auto" w:fill="auto"/>
            <w:noWrap/>
            <w:vAlign w:val="bottom"/>
            <w:hideMark/>
          </w:tcPr>
          <w:p w14:paraId="462DCCD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146424585</w:t>
            </w:r>
          </w:p>
        </w:tc>
        <w:tc>
          <w:tcPr>
            <w:tcW w:w="1360" w:type="dxa"/>
            <w:tcBorders>
              <w:top w:val="nil"/>
              <w:left w:val="single" w:sz="8" w:space="0" w:color="auto"/>
              <w:bottom w:val="nil"/>
              <w:right w:val="single" w:sz="8" w:space="0" w:color="auto"/>
            </w:tcBorders>
            <w:shd w:val="clear" w:color="auto" w:fill="auto"/>
            <w:noWrap/>
            <w:vAlign w:val="bottom"/>
            <w:hideMark/>
          </w:tcPr>
          <w:p w14:paraId="6617A2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146424583</w:t>
            </w:r>
          </w:p>
        </w:tc>
        <w:tc>
          <w:tcPr>
            <w:tcW w:w="1360" w:type="dxa"/>
            <w:tcBorders>
              <w:top w:val="nil"/>
              <w:left w:val="nil"/>
              <w:bottom w:val="nil"/>
              <w:right w:val="single" w:sz="8" w:space="0" w:color="auto"/>
            </w:tcBorders>
            <w:shd w:val="clear" w:color="auto" w:fill="auto"/>
            <w:noWrap/>
            <w:vAlign w:val="bottom"/>
            <w:hideMark/>
          </w:tcPr>
          <w:p w14:paraId="33BF2AD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9.13623</w:t>
            </w:r>
          </w:p>
        </w:tc>
      </w:tr>
      <w:tr w:rsidR="00466335" w:rsidRPr="00466335" w14:paraId="067CB913"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5A07210C"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KO</w:t>
            </w:r>
          </w:p>
        </w:tc>
        <w:tc>
          <w:tcPr>
            <w:tcW w:w="1360" w:type="dxa"/>
            <w:tcBorders>
              <w:top w:val="nil"/>
              <w:left w:val="single" w:sz="8" w:space="0" w:color="auto"/>
              <w:bottom w:val="nil"/>
              <w:right w:val="nil"/>
            </w:tcBorders>
            <w:shd w:val="clear" w:color="auto" w:fill="auto"/>
            <w:noWrap/>
            <w:vAlign w:val="bottom"/>
            <w:hideMark/>
          </w:tcPr>
          <w:p w14:paraId="5E8BA53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35913555</w:t>
            </w:r>
          </w:p>
        </w:tc>
        <w:tc>
          <w:tcPr>
            <w:tcW w:w="1360" w:type="dxa"/>
            <w:tcBorders>
              <w:top w:val="nil"/>
              <w:left w:val="single" w:sz="8" w:space="0" w:color="auto"/>
              <w:bottom w:val="nil"/>
              <w:right w:val="single" w:sz="8" w:space="0" w:color="auto"/>
            </w:tcBorders>
            <w:shd w:val="clear" w:color="auto" w:fill="auto"/>
            <w:noWrap/>
            <w:vAlign w:val="bottom"/>
            <w:hideMark/>
          </w:tcPr>
          <w:p w14:paraId="2E4E49B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35913557</w:t>
            </w:r>
          </w:p>
        </w:tc>
        <w:tc>
          <w:tcPr>
            <w:tcW w:w="1360" w:type="dxa"/>
            <w:tcBorders>
              <w:top w:val="nil"/>
              <w:left w:val="nil"/>
              <w:bottom w:val="nil"/>
              <w:right w:val="single" w:sz="8" w:space="0" w:color="auto"/>
            </w:tcBorders>
            <w:shd w:val="clear" w:color="auto" w:fill="auto"/>
            <w:noWrap/>
            <w:vAlign w:val="bottom"/>
            <w:hideMark/>
          </w:tcPr>
          <w:p w14:paraId="0C6E81F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3.162122</w:t>
            </w:r>
          </w:p>
        </w:tc>
      </w:tr>
      <w:tr w:rsidR="00466335" w:rsidRPr="00466335" w14:paraId="1F5FF5CE"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79D4C74B"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KRFT</w:t>
            </w:r>
          </w:p>
        </w:tc>
        <w:tc>
          <w:tcPr>
            <w:tcW w:w="1360" w:type="dxa"/>
            <w:tcBorders>
              <w:top w:val="nil"/>
              <w:left w:val="single" w:sz="8" w:space="0" w:color="auto"/>
              <w:bottom w:val="nil"/>
              <w:right w:val="nil"/>
            </w:tcBorders>
            <w:shd w:val="clear" w:color="auto" w:fill="auto"/>
            <w:noWrap/>
            <w:vAlign w:val="bottom"/>
            <w:hideMark/>
          </w:tcPr>
          <w:p w14:paraId="72EE8DB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45366153</w:t>
            </w:r>
          </w:p>
        </w:tc>
        <w:tc>
          <w:tcPr>
            <w:tcW w:w="1360" w:type="dxa"/>
            <w:tcBorders>
              <w:top w:val="nil"/>
              <w:left w:val="single" w:sz="8" w:space="0" w:color="auto"/>
              <w:bottom w:val="nil"/>
              <w:right w:val="single" w:sz="8" w:space="0" w:color="auto"/>
            </w:tcBorders>
            <w:shd w:val="clear" w:color="auto" w:fill="auto"/>
            <w:noWrap/>
            <w:vAlign w:val="bottom"/>
            <w:hideMark/>
          </w:tcPr>
          <w:p w14:paraId="44BEAC7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45366156</w:t>
            </w:r>
          </w:p>
        </w:tc>
        <w:tc>
          <w:tcPr>
            <w:tcW w:w="1360" w:type="dxa"/>
            <w:tcBorders>
              <w:top w:val="nil"/>
              <w:left w:val="nil"/>
              <w:bottom w:val="nil"/>
              <w:right w:val="single" w:sz="8" w:space="0" w:color="auto"/>
            </w:tcBorders>
            <w:shd w:val="clear" w:color="auto" w:fill="auto"/>
            <w:noWrap/>
            <w:vAlign w:val="bottom"/>
            <w:hideMark/>
          </w:tcPr>
          <w:p w14:paraId="61EB6A7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7.121616</w:t>
            </w:r>
          </w:p>
        </w:tc>
      </w:tr>
      <w:tr w:rsidR="00466335" w:rsidRPr="00466335" w14:paraId="45B5DFAD"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3F659782"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MCD</w:t>
            </w:r>
          </w:p>
        </w:tc>
        <w:tc>
          <w:tcPr>
            <w:tcW w:w="1360" w:type="dxa"/>
            <w:tcBorders>
              <w:top w:val="nil"/>
              <w:left w:val="single" w:sz="8" w:space="0" w:color="auto"/>
              <w:bottom w:val="nil"/>
              <w:right w:val="nil"/>
            </w:tcBorders>
            <w:shd w:val="clear" w:color="auto" w:fill="auto"/>
            <w:noWrap/>
            <w:vAlign w:val="bottom"/>
            <w:hideMark/>
          </w:tcPr>
          <w:p w14:paraId="37722E7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24965634</w:t>
            </w:r>
          </w:p>
        </w:tc>
        <w:tc>
          <w:tcPr>
            <w:tcW w:w="1360" w:type="dxa"/>
            <w:tcBorders>
              <w:top w:val="nil"/>
              <w:left w:val="single" w:sz="8" w:space="0" w:color="auto"/>
              <w:bottom w:val="nil"/>
              <w:right w:val="single" w:sz="8" w:space="0" w:color="auto"/>
            </w:tcBorders>
            <w:shd w:val="clear" w:color="auto" w:fill="auto"/>
            <w:noWrap/>
            <w:vAlign w:val="bottom"/>
            <w:hideMark/>
          </w:tcPr>
          <w:p w14:paraId="326E709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24965638</w:t>
            </w:r>
          </w:p>
        </w:tc>
        <w:tc>
          <w:tcPr>
            <w:tcW w:w="1360" w:type="dxa"/>
            <w:tcBorders>
              <w:top w:val="nil"/>
              <w:left w:val="nil"/>
              <w:bottom w:val="nil"/>
              <w:right w:val="single" w:sz="8" w:space="0" w:color="auto"/>
            </w:tcBorders>
            <w:shd w:val="clear" w:color="auto" w:fill="auto"/>
            <w:noWrap/>
            <w:vAlign w:val="bottom"/>
            <w:hideMark/>
          </w:tcPr>
          <w:p w14:paraId="51E1278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6.878623</w:t>
            </w:r>
          </w:p>
        </w:tc>
      </w:tr>
      <w:tr w:rsidR="00466335" w:rsidRPr="00466335" w14:paraId="58F9E740"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6D52B8D3"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MMM</w:t>
            </w:r>
          </w:p>
        </w:tc>
        <w:tc>
          <w:tcPr>
            <w:tcW w:w="1360" w:type="dxa"/>
            <w:tcBorders>
              <w:top w:val="nil"/>
              <w:left w:val="single" w:sz="8" w:space="0" w:color="auto"/>
              <w:bottom w:val="nil"/>
              <w:right w:val="nil"/>
            </w:tcBorders>
            <w:shd w:val="clear" w:color="auto" w:fill="auto"/>
            <w:noWrap/>
            <w:vAlign w:val="bottom"/>
            <w:hideMark/>
          </w:tcPr>
          <w:p w14:paraId="198973B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15020575</w:t>
            </w:r>
          </w:p>
        </w:tc>
        <w:tc>
          <w:tcPr>
            <w:tcW w:w="1360" w:type="dxa"/>
            <w:tcBorders>
              <w:top w:val="nil"/>
              <w:left w:val="single" w:sz="8" w:space="0" w:color="auto"/>
              <w:bottom w:val="nil"/>
              <w:right w:val="single" w:sz="8" w:space="0" w:color="auto"/>
            </w:tcBorders>
            <w:shd w:val="clear" w:color="auto" w:fill="auto"/>
            <w:noWrap/>
            <w:vAlign w:val="bottom"/>
            <w:hideMark/>
          </w:tcPr>
          <w:p w14:paraId="4928C6B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15020577</w:t>
            </w:r>
          </w:p>
        </w:tc>
        <w:tc>
          <w:tcPr>
            <w:tcW w:w="1360" w:type="dxa"/>
            <w:tcBorders>
              <w:top w:val="nil"/>
              <w:left w:val="nil"/>
              <w:bottom w:val="nil"/>
              <w:right w:val="single" w:sz="8" w:space="0" w:color="auto"/>
            </w:tcBorders>
            <w:shd w:val="clear" w:color="auto" w:fill="auto"/>
            <w:noWrap/>
            <w:vAlign w:val="bottom"/>
            <w:hideMark/>
          </w:tcPr>
          <w:p w14:paraId="3C5D0E4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8.189247</w:t>
            </w:r>
          </w:p>
        </w:tc>
      </w:tr>
      <w:tr w:rsidR="00466335" w:rsidRPr="00466335" w14:paraId="1CBC4592"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06296F33"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MRK</w:t>
            </w:r>
          </w:p>
        </w:tc>
        <w:tc>
          <w:tcPr>
            <w:tcW w:w="1360" w:type="dxa"/>
            <w:tcBorders>
              <w:top w:val="nil"/>
              <w:left w:val="single" w:sz="8" w:space="0" w:color="auto"/>
              <w:bottom w:val="nil"/>
              <w:right w:val="nil"/>
            </w:tcBorders>
            <w:shd w:val="clear" w:color="auto" w:fill="auto"/>
            <w:noWrap/>
            <w:vAlign w:val="bottom"/>
            <w:hideMark/>
          </w:tcPr>
          <w:p w14:paraId="7E9BAF0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65631688</w:t>
            </w:r>
          </w:p>
        </w:tc>
        <w:tc>
          <w:tcPr>
            <w:tcW w:w="1360" w:type="dxa"/>
            <w:tcBorders>
              <w:top w:val="nil"/>
              <w:left w:val="single" w:sz="8" w:space="0" w:color="auto"/>
              <w:bottom w:val="nil"/>
              <w:right w:val="single" w:sz="8" w:space="0" w:color="auto"/>
            </w:tcBorders>
            <w:shd w:val="clear" w:color="auto" w:fill="auto"/>
            <w:noWrap/>
            <w:vAlign w:val="bottom"/>
            <w:hideMark/>
          </w:tcPr>
          <w:p w14:paraId="3597500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65631691</w:t>
            </w:r>
          </w:p>
        </w:tc>
        <w:tc>
          <w:tcPr>
            <w:tcW w:w="1360" w:type="dxa"/>
            <w:tcBorders>
              <w:top w:val="nil"/>
              <w:left w:val="nil"/>
              <w:bottom w:val="nil"/>
              <w:right w:val="single" w:sz="8" w:space="0" w:color="auto"/>
            </w:tcBorders>
            <w:shd w:val="clear" w:color="auto" w:fill="auto"/>
            <w:noWrap/>
            <w:vAlign w:val="bottom"/>
            <w:hideMark/>
          </w:tcPr>
          <w:p w14:paraId="08E6E3C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9.17664</w:t>
            </w:r>
          </w:p>
        </w:tc>
      </w:tr>
      <w:tr w:rsidR="00466335" w:rsidRPr="00466335" w14:paraId="1C2BA123"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7DC5BF7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MSFT</w:t>
            </w:r>
          </w:p>
        </w:tc>
        <w:tc>
          <w:tcPr>
            <w:tcW w:w="1360" w:type="dxa"/>
            <w:tcBorders>
              <w:top w:val="nil"/>
              <w:left w:val="single" w:sz="8" w:space="0" w:color="auto"/>
              <w:bottom w:val="nil"/>
              <w:right w:val="nil"/>
            </w:tcBorders>
            <w:shd w:val="clear" w:color="auto" w:fill="auto"/>
            <w:noWrap/>
            <w:vAlign w:val="bottom"/>
            <w:hideMark/>
          </w:tcPr>
          <w:p w14:paraId="264E1DE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306000553</w:t>
            </w:r>
          </w:p>
        </w:tc>
        <w:tc>
          <w:tcPr>
            <w:tcW w:w="1360" w:type="dxa"/>
            <w:tcBorders>
              <w:top w:val="nil"/>
              <w:left w:val="single" w:sz="8" w:space="0" w:color="auto"/>
              <w:bottom w:val="nil"/>
              <w:right w:val="single" w:sz="8" w:space="0" w:color="auto"/>
            </w:tcBorders>
            <w:shd w:val="clear" w:color="auto" w:fill="auto"/>
            <w:noWrap/>
            <w:vAlign w:val="bottom"/>
            <w:hideMark/>
          </w:tcPr>
          <w:p w14:paraId="1DDD13B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306000552</w:t>
            </w:r>
          </w:p>
        </w:tc>
        <w:tc>
          <w:tcPr>
            <w:tcW w:w="1360" w:type="dxa"/>
            <w:tcBorders>
              <w:top w:val="nil"/>
              <w:left w:val="nil"/>
              <w:bottom w:val="nil"/>
              <w:right w:val="single" w:sz="8" w:space="0" w:color="auto"/>
            </w:tcBorders>
            <w:shd w:val="clear" w:color="auto" w:fill="auto"/>
            <w:noWrap/>
            <w:vAlign w:val="bottom"/>
            <w:hideMark/>
          </w:tcPr>
          <w:p w14:paraId="4548FD5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10.32122</w:t>
            </w:r>
          </w:p>
        </w:tc>
      </w:tr>
      <w:tr w:rsidR="00466335" w:rsidRPr="00466335" w14:paraId="0CA4E2A0"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50D18DD6"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PFE</w:t>
            </w:r>
          </w:p>
        </w:tc>
        <w:tc>
          <w:tcPr>
            <w:tcW w:w="1360" w:type="dxa"/>
            <w:tcBorders>
              <w:top w:val="nil"/>
              <w:left w:val="single" w:sz="8" w:space="0" w:color="auto"/>
              <w:bottom w:val="nil"/>
              <w:right w:val="nil"/>
            </w:tcBorders>
            <w:shd w:val="clear" w:color="auto" w:fill="auto"/>
            <w:noWrap/>
            <w:vAlign w:val="bottom"/>
            <w:hideMark/>
          </w:tcPr>
          <w:p w14:paraId="123B27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207245099</w:t>
            </w:r>
          </w:p>
        </w:tc>
        <w:tc>
          <w:tcPr>
            <w:tcW w:w="1360" w:type="dxa"/>
            <w:tcBorders>
              <w:top w:val="nil"/>
              <w:left w:val="single" w:sz="8" w:space="0" w:color="auto"/>
              <w:bottom w:val="nil"/>
              <w:right w:val="single" w:sz="8" w:space="0" w:color="auto"/>
            </w:tcBorders>
            <w:shd w:val="clear" w:color="auto" w:fill="auto"/>
            <w:noWrap/>
            <w:vAlign w:val="bottom"/>
            <w:hideMark/>
          </w:tcPr>
          <w:p w14:paraId="026A34A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207245100</w:t>
            </w:r>
          </w:p>
        </w:tc>
        <w:tc>
          <w:tcPr>
            <w:tcW w:w="1360" w:type="dxa"/>
            <w:tcBorders>
              <w:top w:val="nil"/>
              <w:left w:val="nil"/>
              <w:bottom w:val="nil"/>
              <w:right w:val="single" w:sz="8" w:space="0" w:color="auto"/>
            </w:tcBorders>
            <w:shd w:val="clear" w:color="auto" w:fill="auto"/>
            <w:noWrap/>
            <w:vAlign w:val="bottom"/>
            <w:hideMark/>
          </w:tcPr>
          <w:p w14:paraId="3F71D27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8.225146</w:t>
            </w:r>
          </w:p>
        </w:tc>
      </w:tr>
      <w:tr w:rsidR="00466335" w:rsidRPr="00466335" w14:paraId="504DAC53"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2C96DD1B"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PG</w:t>
            </w:r>
          </w:p>
        </w:tc>
        <w:tc>
          <w:tcPr>
            <w:tcW w:w="1360" w:type="dxa"/>
            <w:tcBorders>
              <w:top w:val="nil"/>
              <w:left w:val="single" w:sz="8" w:space="0" w:color="auto"/>
              <w:bottom w:val="nil"/>
              <w:right w:val="nil"/>
            </w:tcBorders>
            <w:shd w:val="clear" w:color="auto" w:fill="auto"/>
            <w:noWrap/>
            <w:vAlign w:val="bottom"/>
            <w:hideMark/>
          </w:tcPr>
          <w:p w14:paraId="32AD2B8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46194506</w:t>
            </w:r>
          </w:p>
        </w:tc>
        <w:tc>
          <w:tcPr>
            <w:tcW w:w="1360" w:type="dxa"/>
            <w:tcBorders>
              <w:top w:val="nil"/>
              <w:left w:val="single" w:sz="8" w:space="0" w:color="auto"/>
              <w:bottom w:val="nil"/>
              <w:right w:val="single" w:sz="8" w:space="0" w:color="auto"/>
            </w:tcBorders>
            <w:shd w:val="clear" w:color="auto" w:fill="auto"/>
            <w:noWrap/>
            <w:vAlign w:val="bottom"/>
            <w:hideMark/>
          </w:tcPr>
          <w:p w14:paraId="386AAD6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46194511</w:t>
            </w:r>
          </w:p>
        </w:tc>
        <w:tc>
          <w:tcPr>
            <w:tcW w:w="1360" w:type="dxa"/>
            <w:tcBorders>
              <w:top w:val="nil"/>
              <w:left w:val="nil"/>
              <w:bottom w:val="nil"/>
              <w:right w:val="single" w:sz="8" w:space="0" w:color="auto"/>
            </w:tcBorders>
            <w:shd w:val="clear" w:color="auto" w:fill="auto"/>
            <w:noWrap/>
            <w:vAlign w:val="bottom"/>
            <w:hideMark/>
          </w:tcPr>
          <w:p w14:paraId="6F8B5BC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5.726039</w:t>
            </w:r>
          </w:p>
        </w:tc>
      </w:tr>
      <w:tr w:rsidR="00466335" w:rsidRPr="00466335" w14:paraId="4C0E05EC"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4ED8D8D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T</w:t>
            </w:r>
          </w:p>
        </w:tc>
        <w:tc>
          <w:tcPr>
            <w:tcW w:w="1360" w:type="dxa"/>
            <w:tcBorders>
              <w:top w:val="nil"/>
              <w:left w:val="single" w:sz="8" w:space="0" w:color="auto"/>
              <w:bottom w:val="nil"/>
              <w:right w:val="nil"/>
            </w:tcBorders>
            <w:shd w:val="clear" w:color="auto" w:fill="auto"/>
            <w:noWrap/>
            <w:vAlign w:val="bottom"/>
            <w:hideMark/>
          </w:tcPr>
          <w:p w14:paraId="7004D25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149761089</w:t>
            </w:r>
          </w:p>
        </w:tc>
        <w:tc>
          <w:tcPr>
            <w:tcW w:w="1360" w:type="dxa"/>
            <w:tcBorders>
              <w:top w:val="nil"/>
              <w:left w:val="single" w:sz="8" w:space="0" w:color="auto"/>
              <w:bottom w:val="nil"/>
              <w:right w:val="single" w:sz="8" w:space="0" w:color="auto"/>
            </w:tcBorders>
            <w:shd w:val="clear" w:color="auto" w:fill="auto"/>
            <w:noWrap/>
            <w:vAlign w:val="bottom"/>
            <w:hideMark/>
          </w:tcPr>
          <w:p w14:paraId="0406C3C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149761092</w:t>
            </w:r>
          </w:p>
        </w:tc>
        <w:tc>
          <w:tcPr>
            <w:tcW w:w="1360" w:type="dxa"/>
            <w:tcBorders>
              <w:top w:val="nil"/>
              <w:left w:val="nil"/>
              <w:bottom w:val="nil"/>
              <w:right w:val="single" w:sz="8" w:space="0" w:color="auto"/>
            </w:tcBorders>
            <w:shd w:val="clear" w:color="auto" w:fill="auto"/>
            <w:noWrap/>
            <w:vAlign w:val="bottom"/>
            <w:hideMark/>
          </w:tcPr>
          <w:p w14:paraId="12907CB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3.818744</w:t>
            </w:r>
          </w:p>
        </w:tc>
      </w:tr>
      <w:tr w:rsidR="00466335" w:rsidRPr="00466335" w14:paraId="3964B987"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51060F7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TRV</w:t>
            </w:r>
          </w:p>
        </w:tc>
        <w:tc>
          <w:tcPr>
            <w:tcW w:w="1360" w:type="dxa"/>
            <w:tcBorders>
              <w:top w:val="nil"/>
              <w:left w:val="single" w:sz="8" w:space="0" w:color="auto"/>
              <w:bottom w:val="nil"/>
              <w:right w:val="nil"/>
            </w:tcBorders>
            <w:shd w:val="clear" w:color="auto" w:fill="auto"/>
            <w:noWrap/>
            <w:vAlign w:val="bottom"/>
            <w:hideMark/>
          </w:tcPr>
          <w:p w14:paraId="708C352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15458994</w:t>
            </w:r>
          </w:p>
        </w:tc>
        <w:tc>
          <w:tcPr>
            <w:tcW w:w="1360" w:type="dxa"/>
            <w:tcBorders>
              <w:top w:val="nil"/>
              <w:left w:val="single" w:sz="8" w:space="0" w:color="auto"/>
              <w:bottom w:val="nil"/>
              <w:right w:val="single" w:sz="8" w:space="0" w:color="auto"/>
            </w:tcBorders>
            <w:shd w:val="clear" w:color="auto" w:fill="auto"/>
            <w:noWrap/>
            <w:vAlign w:val="bottom"/>
            <w:hideMark/>
          </w:tcPr>
          <w:p w14:paraId="4DE0DD3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15458999</w:t>
            </w:r>
          </w:p>
        </w:tc>
        <w:tc>
          <w:tcPr>
            <w:tcW w:w="1360" w:type="dxa"/>
            <w:tcBorders>
              <w:top w:val="nil"/>
              <w:left w:val="nil"/>
              <w:bottom w:val="nil"/>
              <w:right w:val="single" w:sz="8" w:space="0" w:color="auto"/>
            </w:tcBorders>
            <w:shd w:val="clear" w:color="auto" w:fill="auto"/>
            <w:noWrap/>
            <w:vAlign w:val="bottom"/>
            <w:hideMark/>
          </w:tcPr>
          <w:p w14:paraId="4694113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3.59698</w:t>
            </w:r>
          </w:p>
        </w:tc>
      </w:tr>
      <w:tr w:rsidR="00466335" w:rsidRPr="00466335" w14:paraId="38CB0859"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682E4E6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UTX</w:t>
            </w:r>
          </w:p>
        </w:tc>
        <w:tc>
          <w:tcPr>
            <w:tcW w:w="1360" w:type="dxa"/>
            <w:tcBorders>
              <w:top w:val="nil"/>
              <w:left w:val="single" w:sz="8" w:space="0" w:color="auto"/>
              <w:bottom w:val="nil"/>
              <w:right w:val="nil"/>
            </w:tcBorders>
            <w:shd w:val="clear" w:color="auto" w:fill="auto"/>
            <w:noWrap/>
            <w:vAlign w:val="bottom"/>
            <w:hideMark/>
          </w:tcPr>
          <w:p w14:paraId="5381AD0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18958828</w:t>
            </w:r>
          </w:p>
        </w:tc>
        <w:tc>
          <w:tcPr>
            <w:tcW w:w="1360" w:type="dxa"/>
            <w:tcBorders>
              <w:top w:val="nil"/>
              <w:left w:val="single" w:sz="8" w:space="0" w:color="auto"/>
              <w:bottom w:val="nil"/>
              <w:right w:val="single" w:sz="8" w:space="0" w:color="auto"/>
            </w:tcBorders>
            <w:shd w:val="clear" w:color="auto" w:fill="auto"/>
            <w:noWrap/>
            <w:vAlign w:val="bottom"/>
            <w:hideMark/>
          </w:tcPr>
          <w:p w14:paraId="30D73AC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18958836</w:t>
            </w:r>
          </w:p>
        </w:tc>
        <w:tc>
          <w:tcPr>
            <w:tcW w:w="1360" w:type="dxa"/>
            <w:tcBorders>
              <w:top w:val="nil"/>
              <w:left w:val="nil"/>
              <w:bottom w:val="nil"/>
              <w:right w:val="single" w:sz="8" w:space="0" w:color="auto"/>
            </w:tcBorders>
            <w:shd w:val="clear" w:color="auto" w:fill="auto"/>
            <w:noWrap/>
            <w:vAlign w:val="bottom"/>
            <w:hideMark/>
          </w:tcPr>
          <w:p w14:paraId="4BF6092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11.641442</w:t>
            </w:r>
          </w:p>
        </w:tc>
      </w:tr>
      <w:tr w:rsidR="00466335" w:rsidRPr="00466335" w14:paraId="5850848D"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600C019E"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VZ</w:t>
            </w:r>
          </w:p>
        </w:tc>
        <w:tc>
          <w:tcPr>
            <w:tcW w:w="1360" w:type="dxa"/>
            <w:tcBorders>
              <w:top w:val="nil"/>
              <w:left w:val="single" w:sz="8" w:space="0" w:color="auto"/>
              <w:bottom w:val="nil"/>
              <w:right w:val="nil"/>
            </w:tcBorders>
            <w:shd w:val="clear" w:color="auto" w:fill="auto"/>
            <w:noWrap/>
            <w:vAlign w:val="bottom"/>
            <w:hideMark/>
          </w:tcPr>
          <w:p w14:paraId="47A6E8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65737755</w:t>
            </w:r>
          </w:p>
        </w:tc>
        <w:tc>
          <w:tcPr>
            <w:tcW w:w="1360" w:type="dxa"/>
            <w:tcBorders>
              <w:top w:val="nil"/>
              <w:left w:val="single" w:sz="8" w:space="0" w:color="auto"/>
              <w:bottom w:val="nil"/>
              <w:right w:val="single" w:sz="8" w:space="0" w:color="auto"/>
            </w:tcBorders>
            <w:shd w:val="clear" w:color="auto" w:fill="auto"/>
            <w:noWrap/>
            <w:vAlign w:val="bottom"/>
            <w:hideMark/>
          </w:tcPr>
          <w:p w14:paraId="6935825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65737756</w:t>
            </w:r>
          </w:p>
        </w:tc>
        <w:tc>
          <w:tcPr>
            <w:tcW w:w="1360" w:type="dxa"/>
            <w:tcBorders>
              <w:top w:val="nil"/>
              <w:left w:val="nil"/>
              <w:bottom w:val="nil"/>
              <w:right w:val="single" w:sz="8" w:space="0" w:color="auto"/>
            </w:tcBorders>
            <w:shd w:val="clear" w:color="auto" w:fill="auto"/>
            <w:noWrap/>
            <w:vAlign w:val="bottom"/>
            <w:hideMark/>
          </w:tcPr>
          <w:p w14:paraId="44D5C7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5.210104</w:t>
            </w:r>
          </w:p>
        </w:tc>
      </w:tr>
      <w:tr w:rsidR="00466335" w:rsidRPr="00466335" w14:paraId="0FD4D711"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23F9FAE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WMT</w:t>
            </w:r>
          </w:p>
        </w:tc>
        <w:tc>
          <w:tcPr>
            <w:tcW w:w="1360" w:type="dxa"/>
            <w:tcBorders>
              <w:top w:val="nil"/>
              <w:left w:val="single" w:sz="8" w:space="0" w:color="auto"/>
              <w:bottom w:val="nil"/>
              <w:right w:val="nil"/>
            </w:tcBorders>
            <w:shd w:val="clear" w:color="auto" w:fill="auto"/>
            <w:noWrap/>
            <w:vAlign w:val="bottom"/>
            <w:hideMark/>
          </w:tcPr>
          <w:p w14:paraId="481B360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51055448</w:t>
            </w:r>
          </w:p>
        </w:tc>
        <w:tc>
          <w:tcPr>
            <w:tcW w:w="1360" w:type="dxa"/>
            <w:tcBorders>
              <w:top w:val="nil"/>
              <w:left w:val="single" w:sz="8" w:space="0" w:color="auto"/>
              <w:bottom w:val="nil"/>
              <w:right w:val="single" w:sz="8" w:space="0" w:color="auto"/>
            </w:tcBorders>
            <w:shd w:val="clear" w:color="auto" w:fill="auto"/>
            <w:noWrap/>
            <w:vAlign w:val="bottom"/>
            <w:hideMark/>
          </w:tcPr>
          <w:p w14:paraId="56F56B2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51055449</w:t>
            </w:r>
          </w:p>
        </w:tc>
        <w:tc>
          <w:tcPr>
            <w:tcW w:w="1360" w:type="dxa"/>
            <w:tcBorders>
              <w:top w:val="nil"/>
              <w:left w:val="nil"/>
              <w:bottom w:val="nil"/>
              <w:right w:val="single" w:sz="8" w:space="0" w:color="auto"/>
            </w:tcBorders>
            <w:shd w:val="clear" w:color="auto" w:fill="auto"/>
            <w:noWrap/>
            <w:vAlign w:val="bottom"/>
            <w:hideMark/>
          </w:tcPr>
          <w:p w14:paraId="201CE6F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3.560991</w:t>
            </w:r>
          </w:p>
        </w:tc>
      </w:tr>
      <w:tr w:rsidR="00466335" w:rsidRPr="00466335" w14:paraId="56B82C7E" w14:textId="77777777" w:rsidTr="00E24FB0">
        <w:trPr>
          <w:trHeight w:val="290"/>
          <w:jc w:val="center"/>
        </w:trPr>
        <w:tc>
          <w:tcPr>
            <w:tcW w:w="1460" w:type="dxa"/>
            <w:tcBorders>
              <w:top w:val="nil"/>
              <w:left w:val="single" w:sz="8" w:space="0" w:color="auto"/>
              <w:bottom w:val="nil"/>
              <w:right w:val="nil"/>
            </w:tcBorders>
            <w:shd w:val="clear" w:color="auto" w:fill="auto"/>
            <w:noWrap/>
            <w:vAlign w:val="bottom"/>
            <w:hideMark/>
          </w:tcPr>
          <w:p w14:paraId="734B5208"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XOM</w:t>
            </w:r>
          </w:p>
        </w:tc>
        <w:tc>
          <w:tcPr>
            <w:tcW w:w="1360" w:type="dxa"/>
            <w:tcBorders>
              <w:top w:val="nil"/>
              <w:left w:val="single" w:sz="8" w:space="0" w:color="auto"/>
              <w:bottom w:val="nil"/>
              <w:right w:val="nil"/>
            </w:tcBorders>
            <w:shd w:val="clear" w:color="auto" w:fill="auto"/>
            <w:noWrap/>
            <w:vAlign w:val="bottom"/>
            <w:hideMark/>
          </w:tcPr>
          <w:p w14:paraId="2B96F93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88060818</w:t>
            </w:r>
          </w:p>
        </w:tc>
        <w:tc>
          <w:tcPr>
            <w:tcW w:w="1360" w:type="dxa"/>
            <w:tcBorders>
              <w:top w:val="nil"/>
              <w:left w:val="single" w:sz="8" w:space="0" w:color="auto"/>
              <w:bottom w:val="nil"/>
              <w:right w:val="single" w:sz="8" w:space="0" w:color="auto"/>
            </w:tcBorders>
            <w:shd w:val="clear" w:color="auto" w:fill="auto"/>
            <w:noWrap/>
            <w:vAlign w:val="bottom"/>
            <w:hideMark/>
          </w:tcPr>
          <w:p w14:paraId="59E373A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88060821</w:t>
            </w:r>
          </w:p>
        </w:tc>
        <w:tc>
          <w:tcPr>
            <w:tcW w:w="1360" w:type="dxa"/>
            <w:tcBorders>
              <w:top w:val="nil"/>
              <w:left w:val="nil"/>
              <w:bottom w:val="nil"/>
              <w:right w:val="single" w:sz="8" w:space="0" w:color="auto"/>
            </w:tcBorders>
            <w:shd w:val="clear" w:color="auto" w:fill="auto"/>
            <w:noWrap/>
            <w:vAlign w:val="bottom"/>
            <w:hideMark/>
          </w:tcPr>
          <w:p w14:paraId="05D8516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12.730046</w:t>
            </w:r>
          </w:p>
        </w:tc>
      </w:tr>
      <w:tr w:rsidR="00466335" w:rsidRPr="00466335" w14:paraId="66C2FC5C" w14:textId="77777777" w:rsidTr="00E24FB0">
        <w:trPr>
          <w:trHeight w:val="300"/>
          <w:jc w:val="center"/>
        </w:trPr>
        <w:tc>
          <w:tcPr>
            <w:tcW w:w="1460" w:type="dxa"/>
            <w:tcBorders>
              <w:top w:val="nil"/>
              <w:left w:val="single" w:sz="8" w:space="0" w:color="auto"/>
              <w:bottom w:val="single" w:sz="8" w:space="0" w:color="auto"/>
              <w:right w:val="nil"/>
            </w:tcBorders>
            <w:shd w:val="clear" w:color="auto" w:fill="auto"/>
            <w:noWrap/>
            <w:vAlign w:val="bottom"/>
            <w:hideMark/>
          </w:tcPr>
          <w:p w14:paraId="728FC792" w14:textId="77777777" w:rsidR="00466335" w:rsidRPr="00466335" w:rsidRDefault="00466335" w:rsidP="00466335">
            <w:pPr>
              <w:spacing w:after="0"/>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Average RMSE</w:t>
            </w:r>
          </w:p>
        </w:tc>
        <w:tc>
          <w:tcPr>
            <w:tcW w:w="1360" w:type="dxa"/>
            <w:tcBorders>
              <w:top w:val="nil"/>
              <w:left w:val="single" w:sz="8" w:space="0" w:color="auto"/>
              <w:bottom w:val="single" w:sz="8" w:space="0" w:color="auto"/>
              <w:right w:val="nil"/>
            </w:tcBorders>
            <w:shd w:val="clear" w:color="auto" w:fill="auto"/>
            <w:noWrap/>
            <w:vAlign w:val="bottom"/>
            <w:hideMark/>
          </w:tcPr>
          <w:p w14:paraId="10E8182A"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114297253</w:t>
            </w:r>
          </w:p>
        </w:tc>
        <w:tc>
          <w:tcPr>
            <w:tcW w:w="1360" w:type="dxa"/>
            <w:tcBorders>
              <w:top w:val="nil"/>
              <w:left w:val="single" w:sz="8" w:space="0" w:color="auto"/>
              <w:bottom w:val="single" w:sz="8" w:space="0" w:color="auto"/>
              <w:right w:val="single" w:sz="8" w:space="0" w:color="auto"/>
            </w:tcBorders>
            <w:shd w:val="clear" w:color="auto" w:fill="auto"/>
            <w:noWrap/>
            <w:vAlign w:val="bottom"/>
            <w:hideMark/>
          </w:tcPr>
          <w:p w14:paraId="32F3BAEE"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114297255</w:t>
            </w:r>
          </w:p>
        </w:tc>
        <w:tc>
          <w:tcPr>
            <w:tcW w:w="1360" w:type="dxa"/>
            <w:tcBorders>
              <w:top w:val="nil"/>
              <w:left w:val="nil"/>
              <w:bottom w:val="single" w:sz="8" w:space="0" w:color="auto"/>
              <w:right w:val="single" w:sz="8" w:space="0" w:color="auto"/>
            </w:tcBorders>
            <w:shd w:val="clear" w:color="auto" w:fill="auto"/>
            <w:noWrap/>
            <w:vAlign w:val="bottom"/>
            <w:hideMark/>
          </w:tcPr>
          <w:p w14:paraId="4B5714BA"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10.53013038</w:t>
            </w:r>
          </w:p>
        </w:tc>
      </w:tr>
    </w:tbl>
    <w:p w14:paraId="6B406166" w14:textId="23A9DAE6" w:rsidR="002B6735" w:rsidRDefault="002B6735">
      <w:pPr>
        <w:pStyle w:val="BodyText"/>
      </w:pPr>
    </w:p>
    <w:p w14:paraId="1FE57075" w14:textId="362A2990" w:rsidR="002B6735" w:rsidRDefault="00000000">
      <w:pPr>
        <w:pStyle w:val="Heading1"/>
      </w:pPr>
      <w:bookmarkStart w:id="10" w:name="conclusions"/>
      <w:bookmarkEnd w:id="9"/>
      <w:r>
        <w:t>Conclusions</w:t>
      </w:r>
    </w:p>
    <w:bookmarkEnd w:id="10"/>
    <w:p w14:paraId="4E23265D" w14:textId="52706C3C" w:rsidR="009F7AB4" w:rsidRDefault="009F7AB4" w:rsidP="00603657">
      <w:pPr>
        <w:pStyle w:val="BodyText"/>
        <w:jc w:val="both"/>
      </w:pPr>
      <w:r>
        <w:t>The objective was to predict stock returns and compare risk to maximize future returns. We evaluated multiple predictive models to determine the best fit, ultimately selecting the linear regression (</w:t>
      </w:r>
      <w:proofErr w:type="spellStart"/>
      <w:r>
        <w:t>lm</w:t>
      </w:r>
      <w:proofErr w:type="spellEnd"/>
      <w:r>
        <w:t xml:space="preserve">) model. This choice was based on the Root Mean Squared Error (RMSE) scores, where the </w:t>
      </w:r>
      <w:proofErr w:type="spellStart"/>
      <w:r>
        <w:t>lm</w:t>
      </w:r>
      <w:proofErr w:type="spellEnd"/>
      <w:r>
        <w:t xml:space="preserve"> model performed marginally better than alternatives, showing a single-digit improvement on a 10-digit scale.</w:t>
      </w:r>
    </w:p>
    <w:p w14:paraId="16ACCC29" w14:textId="180B942F" w:rsidR="009F7AB4" w:rsidRDefault="009F7AB4" w:rsidP="00603657">
      <w:pPr>
        <w:pStyle w:val="BodyText"/>
        <w:jc w:val="both"/>
      </w:pPr>
      <w:r>
        <w:t>Risk and Reward Analysis Using CAPM: We applied the Capital Asset Pricing Model (CAPM) to assess the risk (Beta) associated with each stock. Using the model’s predictions for the next week’s closing price, we calculated the expected revenue. By plotting revenue against Beta, we visualized the risk-reward balance each stock offered.</w:t>
      </w:r>
    </w:p>
    <w:p w14:paraId="4DDE0E40" w14:textId="68AFFDB1" w:rsidR="009F7AB4" w:rsidRDefault="009F7AB4" w:rsidP="00603657">
      <w:pPr>
        <w:pStyle w:val="BodyText"/>
        <w:jc w:val="both"/>
      </w:pPr>
      <w:r>
        <w:t>Key Insights and Recommendations: The risk-reward plot highlighted three stocks with favorable profiles: KRFT, HPQ, and KO. Additionally, IBM and TRV showed potential but were rated as secondary recommendations. For a stable portfolio, we recommend including KRFT as a primary option. If additional funds are available, TRV and IBM would also be suitable additions.</w:t>
      </w:r>
    </w:p>
    <w:p w14:paraId="7C986A98" w14:textId="25AA2480" w:rsidR="009F7AB4" w:rsidRDefault="009F7AB4" w:rsidP="00603657">
      <w:pPr>
        <w:pStyle w:val="BodyText"/>
        <w:jc w:val="both"/>
      </w:pPr>
      <w:r>
        <w:t>Special Recommendation – KO: While KO stood out, it did so due to its notable negative return. Despite a near-zero Beta, we do not recommend including KO in a portfolio for long positions. However, its low Beta and performance profile make KO a viable candidate for short selling.</w:t>
      </w:r>
    </w:p>
    <w:p w14:paraId="3A6A1670" w14:textId="068BFCA0" w:rsidR="009F7AB4" w:rsidRDefault="009F7AB4" w:rsidP="00603657">
      <w:pPr>
        <w:pStyle w:val="BodyText"/>
        <w:jc w:val="both"/>
      </w:pPr>
      <w:r>
        <w:rPr>
          <w:noProof/>
        </w:rPr>
        <w:drawing>
          <wp:anchor distT="0" distB="0" distL="114300" distR="114300" simplePos="0" relativeHeight="251652608" behindDoc="0" locked="0" layoutInCell="1" allowOverlap="1" wp14:anchorId="6D9CCBF5" wp14:editId="3138DA1A">
            <wp:simplePos x="0" y="0"/>
            <wp:positionH relativeFrom="column">
              <wp:posOffset>0</wp:posOffset>
            </wp:positionH>
            <wp:positionV relativeFrom="paragraph">
              <wp:posOffset>867283</wp:posOffset>
            </wp:positionV>
            <wp:extent cx="5947410" cy="3569970"/>
            <wp:effectExtent l="19050" t="19050" r="0" b="0"/>
            <wp:wrapSquare wrapText="bothSides"/>
            <wp:docPr id="184689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solidFill>
                        <a:schemeClr val="tx1"/>
                      </a:solidFill>
                    </a:ln>
                  </pic:spPr>
                </pic:pic>
              </a:graphicData>
            </a:graphic>
          </wp:anchor>
        </w:drawing>
      </w:r>
      <w:r>
        <w:t xml:space="preserve">Conclusion: By combining predictive modeling and risk assessment, we identified key stocks to consider for portfolio inclusion and developed insights into both long and short positions based on risk </w:t>
      </w:r>
      <w:r>
        <w:lastRenderedPageBreak/>
        <w:t>and return trade-offs.</w:t>
      </w:r>
    </w:p>
    <w:p w14:paraId="749AD068" w14:textId="2C19340D" w:rsidR="004249B3" w:rsidRDefault="004249B3" w:rsidP="00603657">
      <w:pPr>
        <w:pStyle w:val="BodyText"/>
        <w:jc w:val="both"/>
      </w:pPr>
    </w:p>
    <w:p w14:paraId="38C7E936" w14:textId="24C1F480" w:rsidR="004249B3" w:rsidRDefault="004249B3" w:rsidP="00603657">
      <w:pPr>
        <w:pStyle w:val="BodyText"/>
        <w:jc w:val="both"/>
      </w:pPr>
    </w:p>
    <w:p w14:paraId="1D60B0E7" w14:textId="77777777" w:rsidR="004249B3" w:rsidRDefault="004249B3" w:rsidP="00603657">
      <w:pPr>
        <w:pStyle w:val="BodyText"/>
        <w:jc w:val="both"/>
      </w:pPr>
    </w:p>
    <w:p w14:paraId="20798A4F" w14:textId="77777777" w:rsidR="004249B3" w:rsidRDefault="004249B3" w:rsidP="00603657">
      <w:pPr>
        <w:pStyle w:val="BodyText"/>
        <w:jc w:val="both"/>
      </w:pPr>
    </w:p>
    <w:p w14:paraId="1A49A8D5" w14:textId="436733AE" w:rsidR="004249B3" w:rsidRDefault="004249B3" w:rsidP="004249B3">
      <w:pPr>
        <w:pStyle w:val="Heading1"/>
      </w:pPr>
      <w:r w:rsidRPr="004249B3">
        <w:rPr>
          <w:noProof/>
        </w:rPr>
        <w:drawing>
          <wp:anchor distT="0" distB="0" distL="114300" distR="114300" simplePos="0" relativeHeight="251665920" behindDoc="0" locked="0" layoutInCell="1" allowOverlap="1" wp14:anchorId="7662BB39" wp14:editId="346B8C5A">
            <wp:simplePos x="0" y="0"/>
            <wp:positionH relativeFrom="column">
              <wp:posOffset>1359739</wp:posOffset>
            </wp:positionH>
            <wp:positionV relativeFrom="paragraph">
              <wp:posOffset>548234</wp:posOffset>
            </wp:positionV>
            <wp:extent cx="2830830" cy="5850255"/>
            <wp:effectExtent l="19050" t="19050" r="7620" b="0"/>
            <wp:wrapSquare wrapText="bothSides"/>
            <wp:docPr id="41474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58502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Appendix</w:t>
      </w:r>
    </w:p>
    <w:p w14:paraId="5AEC2697" w14:textId="77777777" w:rsidR="004249B3" w:rsidRDefault="004249B3" w:rsidP="00603657">
      <w:pPr>
        <w:pStyle w:val="BodyText"/>
        <w:jc w:val="both"/>
      </w:pPr>
    </w:p>
    <w:sectPr w:rsidR="004249B3" w:rsidSect="00DF062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91A35" w14:textId="77777777" w:rsidR="00C142AE" w:rsidRDefault="00C142AE">
      <w:pPr>
        <w:spacing w:after="0"/>
      </w:pPr>
      <w:r>
        <w:separator/>
      </w:r>
    </w:p>
  </w:endnote>
  <w:endnote w:type="continuationSeparator" w:id="0">
    <w:p w14:paraId="4841D7E7" w14:textId="77777777" w:rsidR="00C142AE" w:rsidRDefault="00C14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BC3AA" w14:textId="77777777" w:rsidR="00C142AE" w:rsidRDefault="00C142AE">
      <w:r>
        <w:separator/>
      </w:r>
    </w:p>
  </w:footnote>
  <w:footnote w:type="continuationSeparator" w:id="0">
    <w:p w14:paraId="1FEC0039" w14:textId="77777777" w:rsidR="00C142AE" w:rsidRDefault="00C14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9ED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264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35"/>
    <w:rsid w:val="000B549A"/>
    <w:rsid w:val="000E6F49"/>
    <w:rsid w:val="001A0554"/>
    <w:rsid w:val="002B6735"/>
    <w:rsid w:val="003037CE"/>
    <w:rsid w:val="004249B3"/>
    <w:rsid w:val="00433B29"/>
    <w:rsid w:val="00466335"/>
    <w:rsid w:val="0048052D"/>
    <w:rsid w:val="005040D9"/>
    <w:rsid w:val="00505231"/>
    <w:rsid w:val="00555196"/>
    <w:rsid w:val="00603657"/>
    <w:rsid w:val="006417AB"/>
    <w:rsid w:val="006562D4"/>
    <w:rsid w:val="006C50F9"/>
    <w:rsid w:val="00791B43"/>
    <w:rsid w:val="00841B08"/>
    <w:rsid w:val="008F1DF6"/>
    <w:rsid w:val="009E3D1A"/>
    <w:rsid w:val="009E6E63"/>
    <w:rsid w:val="009F7AB4"/>
    <w:rsid w:val="00AA464D"/>
    <w:rsid w:val="00AA7019"/>
    <w:rsid w:val="00BD4FD4"/>
    <w:rsid w:val="00C05B57"/>
    <w:rsid w:val="00C142AE"/>
    <w:rsid w:val="00C2425A"/>
    <w:rsid w:val="00CC66E2"/>
    <w:rsid w:val="00DD21E5"/>
    <w:rsid w:val="00DF062E"/>
    <w:rsid w:val="00E1378E"/>
    <w:rsid w:val="00E24FB0"/>
    <w:rsid w:val="00E80EBC"/>
    <w:rsid w:val="00F96F30"/>
    <w:rsid w:val="00FC6990"/>
    <w:rsid w:val="00FF09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A1E"/>
  <w15:docId w15:val="{0E54A86E-80B5-4527-9C49-108B51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5585">
      <w:bodyDiv w:val="1"/>
      <w:marLeft w:val="0"/>
      <w:marRight w:val="0"/>
      <w:marTop w:val="0"/>
      <w:marBottom w:val="0"/>
      <w:divBdr>
        <w:top w:val="none" w:sz="0" w:space="0" w:color="auto"/>
        <w:left w:val="none" w:sz="0" w:space="0" w:color="auto"/>
        <w:bottom w:val="none" w:sz="0" w:space="0" w:color="auto"/>
        <w:right w:val="none" w:sz="0" w:space="0" w:color="auto"/>
      </w:divBdr>
      <w:divsChild>
        <w:div w:id="631984004">
          <w:marLeft w:val="0"/>
          <w:marRight w:val="0"/>
          <w:marTop w:val="0"/>
          <w:marBottom w:val="0"/>
          <w:divBdr>
            <w:top w:val="none" w:sz="0" w:space="0" w:color="auto"/>
            <w:left w:val="none" w:sz="0" w:space="0" w:color="auto"/>
            <w:bottom w:val="none" w:sz="0" w:space="0" w:color="auto"/>
            <w:right w:val="none" w:sz="0" w:space="0" w:color="auto"/>
          </w:divBdr>
          <w:divsChild>
            <w:div w:id="73092502">
              <w:marLeft w:val="0"/>
              <w:marRight w:val="0"/>
              <w:marTop w:val="0"/>
              <w:marBottom w:val="0"/>
              <w:divBdr>
                <w:top w:val="none" w:sz="0" w:space="0" w:color="auto"/>
                <w:left w:val="none" w:sz="0" w:space="0" w:color="auto"/>
                <w:bottom w:val="none" w:sz="0" w:space="0" w:color="auto"/>
                <w:right w:val="none" w:sz="0" w:space="0" w:color="auto"/>
              </w:divBdr>
              <w:divsChild>
                <w:div w:id="1849707214">
                  <w:marLeft w:val="0"/>
                  <w:marRight w:val="0"/>
                  <w:marTop w:val="0"/>
                  <w:marBottom w:val="0"/>
                  <w:divBdr>
                    <w:top w:val="none" w:sz="0" w:space="0" w:color="auto"/>
                    <w:left w:val="none" w:sz="0" w:space="0" w:color="auto"/>
                    <w:bottom w:val="none" w:sz="0" w:space="0" w:color="auto"/>
                    <w:right w:val="none" w:sz="0" w:space="0" w:color="auto"/>
                  </w:divBdr>
                  <w:divsChild>
                    <w:div w:id="1631743811">
                      <w:marLeft w:val="0"/>
                      <w:marRight w:val="0"/>
                      <w:marTop w:val="0"/>
                      <w:marBottom w:val="0"/>
                      <w:divBdr>
                        <w:top w:val="none" w:sz="0" w:space="0" w:color="auto"/>
                        <w:left w:val="none" w:sz="0" w:space="0" w:color="auto"/>
                        <w:bottom w:val="none" w:sz="0" w:space="0" w:color="auto"/>
                        <w:right w:val="none" w:sz="0" w:space="0" w:color="auto"/>
                      </w:divBdr>
                      <w:divsChild>
                        <w:div w:id="2059621151">
                          <w:marLeft w:val="0"/>
                          <w:marRight w:val="0"/>
                          <w:marTop w:val="0"/>
                          <w:marBottom w:val="0"/>
                          <w:divBdr>
                            <w:top w:val="none" w:sz="0" w:space="0" w:color="auto"/>
                            <w:left w:val="none" w:sz="0" w:space="0" w:color="auto"/>
                            <w:bottom w:val="none" w:sz="0" w:space="0" w:color="auto"/>
                            <w:right w:val="none" w:sz="0" w:space="0" w:color="auto"/>
                          </w:divBdr>
                        </w:div>
                      </w:divsChild>
                    </w:div>
                    <w:div w:id="446781269">
                      <w:marLeft w:val="0"/>
                      <w:marRight w:val="0"/>
                      <w:marTop w:val="0"/>
                      <w:marBottom w:val="0"/>
                      <w:divBdr>
                        <w:top w:val="none" w:sz="0" w:space="0" w:color="auto"/>
                        <w:left w:val="none" w:sz="0" w:space="0" w:color="auto"/>
                        <w:bottom w:val="none" w:sz="0" w:space="0" w:color="auto"/>
                        <w:right w:val="none" w:sz="0" w:space="0" w:color="auto"/>
                      </w:divBdr>
                      <w:divsChild>
                        <w:div w:id="612592495">
                          <w:marLeft w:val="0"/>
                          <w:marRight w:val="0"/>
                          <w:marTop w:val="0"/>
                          <w:marBottom w:val="0"/>
                          <w:divBdr>
                            <w:top w:val="none" w:sz="0" w:space="0" w:color="auto"/>
                            <w:left w:val="none" w:sz="0" w:space="0" w:color="auto"/>
                            <w:bottom w:val="none" w:sz="0" w:space="0" w:color="auto"/>
                            <w:right w:val="none" w:sz="0" w:space="0" w:color="auto"/>
                          </w:divBdr>
                          <w:divsChild>
                            <w:div w:id="197473748">
                              <w:marLeft w:val="0"/>
                              <w:marRight w:val="0"/>
                              <w:marTop w:val="0"/>
                              <w:marBottom w:val="0"/>
                              <w:divBdr>
                                <w:top w:val="none" w:sz="0" w:space="0" w:color="auto"/>
                                <w:left w:val="none" w:sz="0" w:space="0" w:color="auto"/>
                                <w:bottom w:val="none" w:sz="0" w:space="0" w:color="auto"/>
                                <w:right w:val="none" w:sz="0" w:space="0" w:color="auto"/>
                              </w:divBdr>
                              <w:divsChild>
                                <w:div w:id="4196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6421">
                  <w:marLeft w:val="0"/>
                  <w:marRight w:val="0"/>
                  <w:marTop w:val="0"/>
                  <w:marBottom w:val="0"/>
                  <w:divBdr>
                    <w:top w:val="none" w:sz="0" w:space="0" w:color="auto"/>
                    <w:left w:val="none" w:sz="0" w:space="0" w:color="auto"/>
                    <w:bottom w:val="none" w:sz="0" w:space="0" w:color="auto"/>
                    <w:right w:val="none" w:sz="0" w:space="0" w:color="auto"/>
                  </w:divBdr>
                </w:div>
                <w:div w:id="1999535003">
                  <w:marLeft w:val="0"/>
                  <w:marRight w:val="0"/>
                  <w:marTop w:val="0"/>
                  <w:marBottom w:val="0"/>
                  <w:divBdr>
                    <w:top w:val="none" w:sz="0" w:space="0" w:color="auto"/>
                    <w:left w:val="none" w:sz="0" w:space="0" w:color="auto"/>
                    <w:bottom w:val="none" w:sz="0" w:space="0" w:color="auto"/>
                    <w:right w:val="none" w:sz="0" w:space="0" w:color="auto"/>
                  </w:divBdr>
                  <w:divsChild>
                    <w:div w:id="2046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29489">
      <w:bodyDiv w:val="1"/>
      <w:marLeft w:val="0"/>
      <w:marRight w:val="0"/>
      <w:marTop w:val="0"/>
      <w:marBottom w:val="0"/>
      <w:divBdr>
        <w:top w:val="none" w:sz="0" w:space="0" w:color="auto"/>
        <w:left w:val="none" w:sz="0" w:space="0" w:color="auto"/>
        <w:bottom w:val="none" w:sz="0" w:space="0" w:color="auto"/>
        <w:right w:val="none" w:sz="0" w:space="0" w:color="auto"/>
      </w:divBdr>
      <w:divsChild>
        <w:div w:id="732200813">
          <w:marLeft w:val="0"/>
          <w:marRight w:val="0"/>
          <w:marTop w:val="0"/>
          <w:marBottom w:val="0"/>
          <w:divBdr>
            <w:top w:val="none" w:sz="0" w:space="0" w:color="auto"/>
            <w:left w:val="none" w:sz="0" w:space="0" w:color="auto"/>
            <w:bottom w:val="none" w:sz="0" w:space="0" w:color="auto"/>
            <w:right w:val="none" w:sz="0" w:space="0" w:color="auto"/>
          </w:divBdr>
          <w:divsChild>
            <w:div w:id="429740699">
              <w:marLeft w:val="0"/>
              <w:marRight w:val="0"/>
              <w:marTop w:val="0"/>
              <w:marBottom w:val="0"/>
              <w:divBdr>
                <w:top w:val="none" w:sz="0" w:space="0" w:color="auto"/>
                <w:left w:val="none" w:sz="0" w:space="0" w:color="auto"/>
                <w:bottom w:val="none" w:sz="0" w:space="0" w:color="auto"/>
                <w:right w:val="none" w:sz="0" w:space="0" w:color="auto"/>
              </w:divBdr>
              <w:divsChild>
                <w:div w:id="832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8008">
      <w:bodyDiv w:val="1"/>
      <w:marLeft w:val="0"/>
      <w:marRight w:val="0"/>
      <w:marTop w:val="0"/>
      <w:marBottom w:val="0"/>
      <w:divBdr>
        <w:top w:val="none" w:sz="0" w:space="0" w:color="auto"/>
        <w:left w:val="none" w:sz="0" w:space="0" w:color="auto"/>
        <w:bottom w:val="none" w:sz="0" w:space="0" w:color="auto"/>
        <w:right w:val="none" w:sz="0" w:space="0" w:color="auto"/>
      </w:divBdr>
      <w:divsChild>
        <w:div w:id="583146543">
          <w:marLeft w:val="0"/>
          <w:marRight w:val="0"/>
          <w:marTop w:val="0"/>
          <w:marBottom w:val="0"/>
          <w:divBdr>
            <w:top w:val="none" w:sz="0" w:space="0" w:color="auto"/>
            <w:left w:val="none" w:sz="0" w:space="0" w:color="auto"/>
            <w:bottom w:val="none" w:sz="0" w:space="0" w:color="auto"/>
            <w:right w:val="none" w:sz="0" w:space="0" w:color="auto"/>
          </w:divBdr>
          <w:divsChild>
            <w:div w:id="1688214067">
              <w:marLeft w:val="0"/>
              <w:marRight w:val="0"/>
              <w:marTop w:val="0"/>
              <w:marBottom w:val="0"/>
              <w:divBdr>
                <w:top w:val="none" w:sz="0" w:space="0" w:color="auto"/>
                <w:left w:val="none" w:sz="0" w:space="0" w:color="auto"/>
                <w:bottom w:val="none" w:sz="0" w:space="0" w:color="auto"/>
                <w:right w:val="none" w:sz="0" w:space="0" w:color="auto"/>
              </w:divBdr>
              <w:divsChild>
                <w:div w:id="1718773578">
                  <w:marLeft w:val="0"/>
                  <w:marRight w:val="0"/>
                  <w:marTop w:val="0"/>
                  <w:marBottom w:val="0"/>
                  <w:divBdr>
                    <w:top w:val="none" w:sz="0" w:space="0" w:color="auto"/>
                    <w:left w:val="none" w:sz="0" w:space="0" w:color="auto"/>
                    <w:bottom w:val="none" w:sz="0" w:space="0" w:color="auto"/>
                    <w:right w:val="none" w:sz="0" w:space="0" w:color="auto"/>
                  </w:divBdr>
                  <w:divsChild>
                    <w:div w:id="298462907">
                      <w:marLeft w:val="0"/>
                      <w:marRight w:val="0"/>
                      <w:marTop w:val="0"/>
                      <w:marBottom w:val="0"/>
                      <w:divBdr>
                        <w:top w:val="none" w:sz="0" w:space="0" w:color="auto"/>
                        <w:left w:val="none" w:sz="0" w:space="0" w:color="auto"/>
                        <w:bottom w:val="none" w:sz="0" w:space="0" w:color="auto"/>
                        <w:right w:val="none" w:sz="0" w:space="0" w:color="auto"/>
                      </w:divBdr>
                      <w:divsChild>
                        <w:div w:id="1969428882">
                          <w:marLeft w:val="0"/>
                          <w:marRight w:val="0"/>
                          <w:marTop w:val="0"/>
                          <w:marBottom w:val="0"/>
                          <w:divBdr>
                            <w:top w:val="none" w:sz="0" w:space="0" w:color="auto"/>
                            <w:left w:val="none" w:sz="0" w:space="0" w:color="auto"/>
                            <w:bottom w:val="none" w:sz="0" w:space="0" w:color="auto"/>
                            <w:right w:val="none" w:sz="0" w:space="0" w:color="auto"/>
                          </w:divBdr>
                        </w:div>
                      </w:divsChild>
                    </w:div>
                    <w:div w:id="515657142">
                      <w:marLeft w:val="0"/>
                      <w:marRight w:val="0"/>
                      <w:marTop w:val="0"/>
                      <w:marBottom w:val="0"/>
                      <w:divBdr>
                        <w:top w:val="none" w:sz="0" w:space="0" w:color="auto"/>
                        <w:left w:val="none" w:sz="0" w:space="0" w:color="auto"/>
                        <w:bottom w:val="none" w:sz="0" w:space="0" w:color="auto"/>
                        <w:right w:val="none" w:sz="0" w:space="0" w:color="auto"/>
                      </w:divBdr>
                      <w:divsChild>
                        <w:div w:id="143591232">
                          <w:marLeft w:val="0"/>
                          <w:marRight w:val="0"/>
                          <w:marTop w:val="0"/>
                          <w:marBottom w:val="0"/>
                          <w:divBdr>
                            <w:top w:val="none" w:sz="0" w:space="0" w:color="auto"/>
                            <w:left w:val="none" w:sz="0" w:space="0" w:color="auto"/>
                            <w:bottom w:val="none" w:sz="0" w:space="0" w:color="auto"/>
                            <w:right w:val="none" w:sz="0" w:space="0" w:color="auto"/>
                          </w:divBdr>
                          <w:divsChild>
                            <w:div w:id="821429228">
                              <w:marLeft w:val="0"/>
                              <w:marRight w:val="0"/>
                              <w:marTop w:val="0"/>
                              <w:marBottom w:val="0"/>
                              <w:divBdr>
                                <w:top w:val="none" w:sz="0" w:space="0" w:color="auto"/>
                                <w:left w:val="none" w:sz="0" w:space="0" w:color="auto"/>
                                <w:bottom w:val="none" w:sz="0" w:space="0" w:color="auto"/>
                                <w:right w:val="none" w:sz="0" w:space="0" w:color="auto"/>
                              </w:divBdr>
                              <w:divsChild>
                                <w:div w:id="1080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1299">
                  <w:marLeft w:val="0"/>
                  <w:marRight w:val="0"/>
                  <w:marTop w:val="0"/>
                  <w:marBottom w:val="0"/>
                  <w:divBdr>
                    <w:top w:val="none" w:sz="0" w:space="0" w:color="auto"/>
                    <w:left w:val="none" w:sz="0" w:space="0" w:color="auto"/>
                    <w:bottom w:val="none" w:sz="0" w:space="0" w:color="auto"/>
                    <w:right w:val="none" w:sz="0" w:space="0" w:color="auto"/>
                  </w:divBdr>
                </w:div>
                <w:div w:id="1486780644">
                  <w:marLeft w:val="0"/>
                  <w:marRight w:val="0"/>
                  <w:marTop w:val="0"/>
                  <w:marBottom w:val="0"/>
                  <w:divBdr>
                    <w:top w:val="none" w:sz="0" w:space="0" w:color="auto"/>
                    <w:left w:val="none" w:sz="0" w:space="0" w:color="auto"/>
                    <w:bottom w:val="none" w:sz="0" w:space="0" w:color="auto"/>
                    <w:right w:val="none" w:sz="0" w:space="0" w:color="auto"/>
                  </w:divBdr>
                  <w:divsChild>
                    <w:div w:id="15292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9803">
      <w:bodyDiv w:val="1"/>
      <w:marLeft w:val="0"/>
      <w:marRight w:val="0"/>
      <w:marTop w:val="0"/>
      <w:marBottom w:val="0"/>
      <w:divBdr>
        <w:top w:val="none" w:sz="0" w:space="0" w:color="auto"/>
        <w:left w:val="none" w:sz="0" w:space="0" w:color="auto"/>
        <w:bottom w:val="none" w:sz="0" w:space="0" w:color="auto"/>
        <w:right w:val="none" w:sz="0" w:space="0" w:color="auto"/>
      </w:divBdr>
      <w:divsChild>
        <w:div w:id="1023286552">
          <w:marLeft w:val="0"/>
          <w:marRight w:val="0"/>
          <w:marTop w:val="0"/>
          <w:marBottom w:val="0"/>
          <w:divBdr>
            <w:top w:val="none" w:sz="0" w:space="0" w:color="auto"/>
            <w:left w:val="none" w:sz="0" w:space="0" w:color="auto"/>
            <w:bottom w:val="none" w:sz="0" w:space="0" w:color="auto"/>
            <w:right w:val="none" w:sz="0" w:space="0" w:color="auto"/>
          </w:divBdr>
          <w:divsChild>
            <w:div w:id="282734837">
              <w:marLeft w:val="0"/>
              <w:marRight w:val="0"/>
              <w:marTop w:val="0"/>
              <w:marBottom w:val="0"/>
              <w:divBdr>
                <w:top w:val="none" w:sz="0" w:space="0" w:color="auto"/>
                <w:left w:val="none" w:sz="0" w:space="0" w:color="auto"/>
                <w:bottom w:val="none" w:sz="0" w:space="0" w:color="auto"/>
                <w:right w:val="none" w:sz="0" w:space="0" w:color="auto"/>
              </w:divBdr>
              <w:divsChild>
                <w:div w:id="1924756106">
                  <w:marLeft w:val="0"/>
                  <w:marRight w:val="0"/>
                  <w:marTop w:val="0"/>
                  <w:marBottom w:val="0"/>
                  <w:divBdr>
                    <w:top w:val="none" w:sz="0" w:space="0" w:color="auto"/>
                    <w:left w:val="none" w:sz="0" w:space="0" w:color="auto"/>
                    <w:bottom w:val="none" w:sz="0" w:space="0" w:color="auto"/>
                    <w:right w:val="none" w:sz="0" w:space="0" w:color="auto"/>
                  </w:divBdr>
                  <w:divsChild>
                    <w:div w:id="1368331814">
                      <w:marLeft w:val="0"/>
                      <w:marRight w:val="0"/>
                      <w:marTop w:val="0"/>
                      <w:marBottom w:val="0"/>
                      <w:divBdr>
                        <w:top w:val="none" w:sz="0" w:space="0" w:color="auto"/>
                        <w:left w:val="none" w:sz="0" w:space="0" w:color="auto"/>
                        <w:bottom w:val="none" w:sz="0" w:space="0" w:color="auto"/>
                        <w:right w:val="none" w:sz="0" w:space="0" w:color="auto"/>
                      </w:divBdr>
                      <w:divsChild>
                        <w:div w:id="1602294907">
                          <w:marLeft w:val="0"/>
                          <w:marRight w:val="0"/>
                          <w:marTop w:val="0"/>
                          <w:marBottom w:val="0"/>
                          <w:divBdr>
                            <w:top w:val="none" w:sz="0" w:space="0" w:color="auto"/>
                            <w:left w:val="none" w:sz="0" w:space="0" w:color="auto"/>
                            <w:bottom w:val="none" w:sz="0" w:space="0" w:color="auto"/>
                            <w:right w:val="none" w:sz="0" w:space="0" w:color="auto"/>
                          </w:divBdr>
                        </w:div>
                      </w:divsChild>
                    </w:div>
                    <w:div w:id="907227793">
                      <w:marLeft w:val="0"/>
                      <w:marRight w:val="0"/>
                      <w:marTop w:val="0"/>
                      <w:marBottom w:val="0"/>
                      <w:divBdr>
                        <w:top w:val="none" w:sz="0" w:space="0" w:color="auto"/>
                        <w:left w:val="none" w:sz="0" w:space="0" w:color="auto"/>
                        <w:bottom w:val="none" w:sz="0" w:space="0" w:color="auto"/>
                        <w:right w:val="none" w:sz="0" w:space="0" w:color="auto"/>
                      </w:divBdr>
                      <w:divsChild>
                        <w:div w:id="167864495">
                          <w:marLeft w:val="0"/>
                          <w:marRight w:val="0"/>
                          <w:marTop w:val="0"/>
                          <w:marBottom w:val="0"/>
                          <w:divBdr>
                            <w:top w:val="none" w:sz="0" w:space="0" w:color="auto"/>
                            <w:left w:val="none" w:sz="0" w:space="0" w:color="auto"/>
                            <w:bottom w:val="none" w:sz="0" w:space="0" w:color="auto"/>
                            <w:right w:val="none" w:sz="0" w:space="0" w:color="auto"/>
                          </w:divBdr>
                          <w:divsChild>
                            <w:div w:id="1424061341">
                              <w:marLeft w:val="0"/>
                              <w:marRight w:val="0"/>
                              <w:marTop w:val="0"/>
                              <w:marBottom w:val="0"/>
                              <w:divBdr>
                                <w:top w:val="none" w:sz="0" w:space="0" w:color="auto"/>
                                <w:left w:val="none" w:sz="0" w:space="0" w:color="auto"/>
                                <w:bottom w:val="none" w:sz="0" w:space="0" w:color="auto"/>
                                <w:right w:val="none" w:sz="0" w:space="0" w:color="auto"/>
                              </w:divBdr>
                              <w:divsChild>
                                <w:div w:id="880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28463">
                  <w:marLeft w:val="0"/>
                  <w:marRight w:val="0"/>
                  <w:marTop w:val="0"/>
                  <w:marBottom w:val="0"/>
                  <w:divBdr>
                    <w:top w:val="none" w:sz="0" w:space="0" w:color="auto"/>
                    <w:left w:val="none" w:sz="0" w:space="0" w:color="auto"/>
                    <w:bottom w:val="none" w:sz="0" w:space="0" w:color="auto"/>
                    <w:right w:val="none" w:sz="0" w:space="0" w:color="auto"/>
                  </w:divBdr>
                </w:div>
                <w:div w:id="1688019183">
                  <w:marLeft w:val="0"/>
                  <w:marRight w:val="0"/>
                  <w:marTop w:val="0"/>
                  <w:marBottom w:val="0"/>
                  <w:divBdr>
                    <w:top w:val="none" w:sz="0" w:space="0" w:color="auto"/>
                    <w:left w:val="none" w:sz="0" w:space="0" w:color="auto"/>
                    <w:bottom w:val="none" w:sz="0" w:space="0" w:color="auto"/>
                    <w:right w:val="none" w:sz="0" w:space="0" w:color="auto"/>
                  </w:divBdr>
                  <w:divsChild>
                    <w:div w:id="1364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5280">
      <w:bodyDiv w:val="1"/>
      <w:marLeft w:val="0"/>
      <w:marRight w:val="0"/>
      <w:marTop w:val="0"/>
      <w:marBottom w:val="0"/>
      <w:divBdr>
        <w:top w:val="none" w:sz="0" w:space="0" w:color="auto"/>
        <w:left w:val="none" w:sz="0" w:space="0" w:color="auto"/>
        <w:bottom w:val="none" w:sz="0" w:space="0" w:color="auto"/>
        <w:right w:val="none" w:sz="0" w:space="0" w:color="auto"/>
      </w:divBdr>
      <w:divsChild>
        <w:div w:id="115954815">
          <w:marLeft w:val="0"/>
          <w:marRight w:val="0"/>
          <w:marTop w:val="0"/>
          <w:marBottom w:val="0"/>
          <w:divBdr>
            <w:top w:val="none" w:sz="0" w:space="0" w:color="auto"/>
            <w:left w:val="none" w:sz="0" w:space="0" w:color="auto"/>
            <w:bottom w:val="none" w:sz="0" w:space="0" w:color="auto"/>
            <w:right w:val="none" w:sz="0" w:space="0" w:color="auto"/>
          </w:divBdr>
          <w:divsChild>
            <w:div w:id="1005474615">
              <w:marLeft w:val="0"/>
              <w:marRight w:val="0"/>
              <w:marTop w:val="0"/>
              <w:marBottom w:val="0"/>
              <w:divBdr>
                <w:top w:val="none" w:sz="0" w:space="0" w:color="auto"/>
                <w:left w:val="none" w:sz="0" w:space="0" w:color="auto"/>
                <w:bottom w:val="none" w:sz="0" w:space="0" w:color="auto"/>
                <w:right w:val="none" w:sz="0" w:space="0" w:color="auto"/>
              </w:divBdr>
              <w:divsChild>
                <w:div w:id="349650593">
                  <w:marLeft w:val="0"/>
                  <w:marRight w:val="0"/>
                  <w:marTop w:val="0"/>
                  <w:marBottom w:val="0"/>
                  <w:divBdr>
                    <w:top w:val="none" w:sz="0" w:space="0" w:color="auto"/>
                    <w:left w:val="none" w:sz="0" w:space="0" w:color="auto"/>
                    <w:bottom w:val="none" w:sz="0" w:space="0" w:color="auto"/>
                    <w:right w:val="none" w:sz="0" w:space="0" w:color="auto"/>
                  </w:divBdr>
                  <w:divsChild>
                    <w:div w:id="1835753880">
                      <w:marLeft w:val="0"/>
                      <w:marRight w:val="0"/>
                      <w:marTop w:val="0"/>
                      <w:marBottom w:val="0"/>
                      <w:divBdr>
                        <w:top w:val="none" w:sz="0" w:space="0" w:color="auto"/>
                        <w:left w:val="none" w:sz="0" w:space="0" w:color="auto"/>
                        <w:bottom w:val="none" w:sz="0" w:space="0" w:color="auto"/>
                        <w:right w:val="none" w:sz="0" w:space="0" w:color="auto"/>
                      </w:divBdr>
                      <w:divsChild>
                        <w:div w:id="7605165">
                          <w:marLeft w:val="0"/>
                          <w:marRight w:val="0"/>
                          <w:marTop w:val="0"/>
                          <w:marBottom w:val="0"/>
                          <w:divBdr>
                            <w:top w:val="none" w:sz="0" w:space="0" w:color="auto"/>
                            <w:left w:val="none" w:sz="0" w:space="0" w:color="auto"/>
                            <w:bottom w:val="none" w:sz="0" w:space="0" w:color="auto"/>
                            <w:right w:val="none" w:sz="0" w:space="0" w:color="auto"/>
                          </w:divBdr>
                        </w:div>
                      </w:divsChild>
                    </w:div>
                    <w:div w:id="1881480751">
                      <w:marLeft w:val="0"/>
                      <w:marRight w:val="0"/>
                      <w:marTop w:val="0"/>
                      <w:marBottom w:val="0"/>
                      <w:divBdr>
                        <w:top w:val="none" w:sz="0" w:space="0" w:color="auto"/>
                        <w:left w:val="none" w:sz="0" w:space="0" w:color="auto"/>
                        <w:bottom w:val="none" w:sz="0" w:space="0" w:color="auto"/>
                        <w:right w:val="none" w:sz="0" w:space="0" w:color="auto"/>
                      </w:divBdr>
                      <w:divsChild>
                        <w:div w:id="367947543">
                          <w:marLeft w:val="0"/>
                          <w:marRight w:val="0"/>
                          <w:marTop w:val="0"/>
                          <w:marBottom w:val="0"/>
                          <w:divBdr>
                            <w:top w:val="none" w:sz="0" w:space="0" w:color="auto"/>
                            <w:left w:val="none" w:sz="0" w:space="0" w:color="auto"/>
                            <w:bottom w:val="none" w:sz="0" w:space="0" w:color="auto"/>
                            <w:right w:val="none" w:sz="0" w:space="0" w:color="auto"/>
                          </w:divBdr>
                          <w:divsChild>
                            <w:div w:id="146363562">
                              <w:marLeft w:val="0"/>
                              <w:marRight w:val="0"/>
                              <w:marTop w:val="0"/>
                              <w:marBottom w:val="0"/>
                              <w:divBdr>
                                <w:top w:val="none" w:sz="0" w:space="0" w:color="auto"/>
                                <w:left w:val="none" w:sz="0" w:space="0" w:color="auto"/>
                                <w:bottom w:val="none" w:sz="0" w:space="0" w:color="auto"/>
                                <w:right w:val="none" w:sz="0" w:space="0" w:color="auto"/>
                              </w:divBdr>
                              <w:divsChild>
                                <w:div w:id="999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3583">
                  <w:marLeft w:val="0"/>
                  <w:marRight w:val="0"/>
                  <w:marTop w:val="0"/>
                  <w:marBottom w:val="0"/>
                  <w:divBdr>
                    <w:top w:val="none" w:sz="0" w:space="0" w:color="auto"/>
                    <w:left w:val="none" w:sz="0" w:space="0" w:color="auto"/>
                    <w:bottom w:val="none" w:sz="0" w:space="0" w:color="auto"/>
                    <w:right w:val="none" w:sz="0" w:space="0" w:color="auto"/>
                  </w:divBdr>
                </w:div>
                <w:div w:id="854533464">
                  <w:marLeft w:val="0"/>
                  <w:marRight w:val="0"/>
                  <w:marTop w:val="0"/>
                  <w:marBottom w:val="0"/>
                  <w:divBdr>
                    <w:top w:val="none" w:sz="0" w:space="0" w:color="auto"/>
                    <w:left w:val="none" w:sz="0" w:space="0" w:color="auto"/>
                    <w:bottom w:val="none" w:sz="0" w:space="0" w:color="auto"/>
                    <w:right w:val="none" w:sz="0" w:space="0" w:color="auto"/>
                  </w:divBdr>
                  <w:divsChild>
                    <w:div w:id="21048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3546">
      <w:bodyDiv w:val="1"/>
      <w:marLeft w:val="0"/>
      <w:marRight w:val="0"/>
      <w:marTop w:val="0"/>
      <w:marBottom w:val="0"/>
      <w:divBdr>
        <w:top w:val="none" w:sz="0" w:space="0" w:color="auto"/>
        <w:left w:val="none" w:sz="0" w:space="0" w:color="auto"/>
        <w:bottom w:val="none" w:sz="0" w:space="0" w:color="auto"/>
        <w:right w:val="none" w:sz="0" w:space="0" w:color="auto"/>
      </w:divBdr>
    </w:div>
    <w:div w:id="1816290773">
      <w:bodyDiv w:val="1"/>
      <w:marLeft w:val="0"/>
      <w:marRight w:val="0"/>
      <w:marTop w:val="0"/>
      <w:marBottom w:val="0"/>
      <w:divBdr>
        <w:top w:val="none" w:sz="0" w:space="0" w:color="auto"/>
        <w:left w:val="none" w:sz="0" w:space="0" w:color="auto"/>
        <w:bottom w:val="none" w:sz="0" w:space="0" w:color="auto"/>
        <w:right w:val="none" w:sz="0" w:space="0" w:color="auto"/>
      </w:divBdr>
      <w:divsChild>
        <w:div w:id="62459094">
          <w:marLeft w:val="0"/>
          <w:marRight w:val="0"/>
          <w:marTop w:val="0"/>
          <w:marBottom w:val="0"/>
          <w:divBdr>
            <w:top w:val="none" w:sz="0" w:space="0" w:color="auto"/>
            <w:left w:val="none" w:sz="0" w:space="0" w:color="auto"/>
            <w:bottom w:val="none" w:sz="0" w:space="0" w:color="auto"/>
            <w:right w:val="none" w:sz="0" w:space="0" w:color="auto"/>
          </w:divBdr>
          <w:divsChild>
            <w:div w:id="1845826895">
              <w:marLeft w:val="0"/>
              <w:marRight w:val="0"/>
              <w:marTop w:val="0"/>
              <w:marBottom w:val="0"/>
              <w:divBdr>
                <w:top w:val="none" w:sz="0" w:space="0" w:color="auto"/>
                <w:left w:val="none" w:sz="0" w:space="0" w:color="auto"/>
                <w:bottom w:val="none" w:sz="0" w:space="0" w:color="auto"/>
                <w:right w:val="none" w:sz="0" w:space="0" w:color="auto"/>
              </w:divBdr>
              <w:divsChild>
                <w:div w:id="997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Case 3 - Dow Jones</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3 - Dow Jones</dc:title>
  <dc:creator>Josh Gardner, Alex Martinez, Cameron Playle, and Guillermo Gallardo</dc:creator>
  <cp:keywords/>
  <cp:lastModifiedBy>Guillermo Gallardo</cp:lastModifiedBy>
  <cp:revision>5</cp:revision>
  <dcterms:created xsi:type="dcterms:W3CDTF">2024-11-11T00:50:00Z</dcterms:created>
  <dcterms:modified xsi:type="dcterms:W3CDTF">2024-11-11T15:02:00Z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