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2024-06-07</w:t>
      </w:r>
    </w:p>
    <w:p>
      <w:pPr>
        <w:pStyle w:val="FirstParagraph"/>
      </w:pPr>
    </w:p>
    <w:bookmarkStart w:id="21"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End w:id="21"/>
    <w:bookmarkStart w:id="28" w:name="dataset"/>
    <w:p>
      <w:pPr>
        <w:pStyle w:val="Heading1"/>
      </w:pPr>
      <w:r>
        <w:t xml:space="preserve">2.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2.1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Start w:id="24" w:name="variables"/>
    <w:p>
      <w:pPr>
        <w:pStyle w:val="Heading2"/>
      </w:pPr>
      <w:r>
        <w:t xml:space="preserve">2.2</w:t>
      </w:r>
      <w:r>
        <w:t xml:space="preserve"> </w:t>
      </w:r>
      <w:r>
        <w:rPr>
          <w:bCs/>
          <w:b/>
        </w:rPr>
        <w:t xml:space="preserve">Variables</w:t>
      </w:r>
    </w:p>
    <w:p>
      <w:pPr>
        <w:pStyle w:val="FirstParagraph"/>
      </w:pPr>
      <w:r>
        <w:t xml:space="preserve">This file includes 35 variables, detailed below, which includes a combination of character and integer types, with some of the character variables being categorical.</w:t>
      </w:r>
    </w:p>
    <w:p>
      <w:pPr>
        <w:pStyle w:val="SourceCode"/>
      </w:pPr>
      <w:r>
        <w:rPr>
          <w:rStyle w:val="FunctionTok"/>
        </w:rPr>
        <w:t xml:space="preserve">str</w:t>
      </w:r>
      <w:r>
        <w:rPr>
          <w:rStyle w:val="NormalTok"/>
        </w:rPr>
        <w:t xml:space="preserve">(hr_data)</w:t>
      </w:r>
    </w:p>
    <w:p>
      <w:pPr>
        <w:pStyle w:val="SourceCode"/>
      </w:pPr>
      <w:r>
        <w:rPr>
          <w:rStyle w:val="VerbatimChar"/>
        </w:rPr>
        <w:t xml:space="preserve">'data.frame':   35 obs. of  2 variables:</w:t>
      </w:r>
      <w:r>
        <w:br/>
      </w:r>
      <w:r>
        <w:rPr>
          <w:rStyle w:val="VerbatimChar"/>
        </w:rPr>
        <w:t xml:space="preserve"> $ Name       : chr  "AGE" "ATTRITION" "BUSINESS TRAVEL" "DAILY RATE" ...</w:t>
      </w:r>
      <w:r>
        <w:br/>
      </w:r>
      <w:r>
        <w:rPr>
          <w:rStyle w:val="VerbatimChar"/>
        </w:rPr>
        <w:t xml:space="preserve"> $ Description: chr  "Numerical Value" "Employee leaving the company (0=no, 1=yes)" "(1=No Travel, 2=Travel Frequently, 3=Tavel Rarely)" "Numerical Value - Salary Level" ...</w:t>
      </w:r>
    </w:p>
    <w:bookmarkEnd w:id="24"/>
    <w:bookmarkStart w:id="25" w:name="gender"/>
    <w:p>
      <w:pPr>
        <w:pStyle w:val="Heading2"/>
      </w:pPr>
      <w:r>
        <w:t xml:space="preserve">2.3</w:t>
      </w:r>
      <w:r>
        <w:t xml:space="preserve"> </w:t>
      </w:r>
      <w:r>
        <w:rPr>
          <w:bCs/>
          <w:b/>
        </w:rPr>
        <w:t xml:space="preserve">Gender</w:t>
      </w:r>
    </w:p>
    <w:p>
      <w:pPr>
        <w:pStyle w:val="FirstParagraph"/>
      </w:pPr>
      <w:r>
        <w:t xml:space="preserve">Out of the 1,470 observation in the dataset, 588 are female and 882 are male. This provides a quick snapshot of the gender distribution within the data.</w:t>
      </w:r>
    </w:p>
    <w:p>
      <w:pPr>
        <w:pStyle w:val="SourceCode"/>
      </w:pPr>
      <w:r>
        <w:rPr>
          <w:rStyle w:val="FunctionTok"/>
        </w:rPr>
        <w:t xml:space="preserve">table</w:t>
      </w:r>
      <w:r>
        <w:rPr>
          <w:rStyle w:val="NormalTok"/>
        </w:rPr>
        <w:t xml:space="preserve">(hr_data</w:t>
      </w:r>
      <w:r>
        <w:rPr>
          <w:rStyle w:val="SpecialCharTok"/>
        </w:rPr>
        <w:t xml:space="preserve">$</w:t>
      </w:r>
      <w:r>
        <w:rPr>
          <w:rStyle w:val="NormalTok"/>
        </w:rPr>
        <w:t xml:space="preserve">Gender)</w:t>
      </w:r>
    </w:p>
    <w:p>
      <w:pPr>
        <w:pStyle w:val="SourceCode"/>
      </w:pPr>
      <w:r>
        <w:rPr>
          <w:rStyle w:val="VerbatimChar"/>
        </w:rPr>
        <w:t xml:space="preserve">&lt; table of extent 0 &gt;</w:t>
      </w:r>
    </w:p>
    <w:bookmarkEnd w:id="25"/>
    <w:bookmarkStart w:id="26" w:name="education"/>
    <w:p>
      <w:pPr>
        <w:pStyle w:val="Heading2"/>
      </w:pPr>
      <w:r>
        <w:t xml:space="preserve">2.4</w:t>
      </w:r>
      <w:r>
        <w:t xml:space="preserve"> </w:t>
      </w:r>
      <w:r>
        <w:rPr>
          <w:bCs/>
          <w:b/>
        </w:rPr>
        <w:t xml:space="preserve">Education</w:t>
      </w:r>
    </w:p>
    <w:p>
      <w:pPr>
        <w:pStyle w:val="FirstParagraph"/>
      </w:pPr>
      <w:r>
        <w:t xml:space="preserve">During data cleaning, we’ll use the data dictionary to decode each field. For instance, the education field is labeled from 1 to 5, representing different educational levels: 1 =</w:t>
      </w:r>
      <w:r>
        <w:t xml:space="preserve"> </w:t>
      </w:r>
      <w:r>
        <w:t xml:space="preserve">“</w:t>
      </w:r>
      <w:r>
        <w:t xml:space="preserve">Below College,</w:t>
      </w:r>
      <w:r>
        <w:t xml:space="preserve">”</w:t>
      </w:r>
      <w:r>
        <w:t xml:space="preserve"> </w:t>
      </w:r>
      <w:r>
        <w:t xml:space="preserve">2 =</w:t>
      </w:r>
      <w:r>
        <w:t xml:space="preserve"> </w:t>
      </w:r>
      <w:r>
        <w:t xml:space="preserve">“</w:t>
      </w:r>
      <w:r>
        <w:t xml:space="preserve">College,</w:t>
      </w:r>
      <w:r>
        <w:t xml:space="preserve">”</w:t>
      </w:r>
      <w:r>
        <w:t xml:space="preserve"> </w:t>
      </w:r>
      <w:r>
        <w:t xml:space="preserve">3 =</w:t>
      </w:r>
      <w:r>
        <w:t xml:space="preserve"> </w:t>
      </w:r>
      <w:r>
        <w:t xml:space="preserve">“</w:t>
      </w:r>
      <w:r>
        <w:t xml:space="preserve">Bachelor’s,</w:t>
      </w:r>
      <w:r>
        <w:t xml:space="preserve">”</w:t>
      </w:r>
      <w:r>
        <w:t xml:space="preserve"> </w:t>
      </w:r>
      <w:r>
        <w:t xml:space="preserve">4 =</w:t>
      </w:r>
      <w:r>
        <w:t xml:space="preserve"> </w:t>
      </w:r>
      <w:r>
        <w:t xml:space="preserve">“</w:t>
      </w:r>
      <w:r>
        <w:t xml:space="preserve">Master’s,</w:t>
      </w:r>
      <w:r>
        <w:t xml:space="preserve">”</w:t>
      </w:r>
      <w:r>
        <w:t xml:space="preserve"> </w:t>
      </w:r>
      <w:r>
        <w:t xml:space="preserve">and 5 =</w:t>
      </w:r>
      <w:r>
        <w:t xml:space="preserve"> </w:t>
      </w:r>
      <w:r>
        <w:t xml:space="preserve">“</w:t>
      </w:r>
      <w:r>
        <w:t xml:space="preserve">Doctorate.</w:t>
      </w:r>
      <w:r>
        <w:t xml:space="preserve">”</w:t>
      </w:r>
      <w:r>
        <w:t xml:space="preserve"> </w:t>
      </w:r>
      <w:r>
        <w:t xml:space="preserve">Notably, about 40% of the dataset holds a Bachelor’s degree.</w:t>
      </w:r>
    </w:p>
    <w:p>
      <w:pPr>
        <w:pStyle w:val="SourceCode"/>
      </w:pPr>
      <w:r>
        <w:rPr>
          <w:rStyle w:val="FunctionTok"/>
        </w:rPr>
        <w:t xml:space="preserve">table</w:t>
      </w:r>
      <w:r>
        <w:rPr>
          <w:rStyle w:val="NormalTok"/>
        </w:rPr>
        <w:t xml:space="preserve">(hr_data</w:t>
      </w:r>
      <w:r>
        <w:rPr>
          <w:rStyle w:val="SpecialCharTok"/>
        </w:rPr>
        <w:t xml:space="preserve">$</w:t>
      </w:r>
      <w:r>
        <w:rPr>
          <w:rStyle w:val="NormalTok"/>
        </w:rPr>
        <w:t xml:space="preserve">Education)</w:t>
      </w:r>
    </w:p>
    <w:p>
      <w:pPr>
        <w:pStyle w:val="SourceCode"/>
      </w:pPr>
      <w:r>
        <w:rPr>
          <w:rStyle w:val="VerbatimChar"/>
        </w:rPr>
        <w:t xml:space="preserve">&lt; table of extent 0 &gt;</w:t>
      </w:r>
    </w:p>
    <w:bookmarkEnd w:id="26"/>
    <w:bookmarkStart w:id="27" w:name="data-dictionary"/>
    <w:p>
      <w:pPr>
        <w:pStyle w:val="Heading2"/>
      </w:pPr>
      <w:r>
        <w:t xml:space="preserve">2.5 Data Dictionary</w:t>
      </w:r>
    </w:p>
    <w:p>
      <w:pPr>
        <w:pStyle w:val="FirstParagraph"/>
      </w:pPr>
      <w:r>
        <w:t xml:space="preserve">The data</w:t>
      </w:r>
    </w:p>
    <w:p>
      <w:pPr>
        <w:pStyle w:val="BodyText"/>
      </w:pPr>
      <w:r>
        <w:rPr>
          <w:iCs/>
          <w:i/>
        </w:rPr>
        <w:t xml:space="preserve">DELETE —– Describe what the data is, what it contains, where it is from, etc. Eventually this might be part of a methods section.</w:t>
      </w:r>
    </w:p>
    <w:bookmarkEnd w:id="27"/>
    <w:bookmarkEnd w:id="28"/>
    <w:bookmarkStart w:id="29" w:name="questionshypotheses-to-be-addressed"/>
    <w:p>
      <w:pPr>
        <w:pStyle w:val="Heading1"/>
      </w:pPr>
      <w:r>
        <w:t xml:space="preserve">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9"/>
    <w:bookmarkStart w:id="38"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schematic-of-workflow"/>
    <w:p>
      <w:pPr>
        <w:pStyle w:val="Heading2"/>
      </w:pPr>
      <w:r>
        <w:t xml:space="preserve">4.1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Pr>
      <w:tblGrid>
        <w:gridCol w:w="7920"/>
      </w:tblGrid>
      <w:tr>
        <w:tc>
          <w:tcPr/>
          <w:bookmarkStart w:id="33" w:name="fig-schematic"/>
          <w:p>
            <w:pPr>
              <w:jc w:val="center"/>
            </w:pPr>
            <w:r>
              <w:drawing>
                <wp:inline>
                  <wp:extent cx="5334000" cy="4978399"/>
                  <wp:effectExtent b="0" l="0" r="0" t="0"/>
                  <wp:docPr descr="" title="" id="31" name="Picture"/>
                  <a:graphic>
                    <a:graphicData uri="http://schemas.openxmlformats.org/drawingml/2006/picture">
                      <pic:pic>
                        <pic:nvPicPr>
                          <pic:cNvPr descr="../../assets/antigen-recognition.png" id="32" name="Picture"/>
                          <pic:cNvPicPr>
                            <a:picLocks noChangeArrowheads="1" noChangeAspect="1"/>
                          </pic:cNvPicPr>
                        </pic:nvPicPr>
                        <pic:blipFill>
                          <a:blip r:embed="rId30"/>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3"/>
        </w:tc>
      </w:tr>
    </w:tbl>
    <w:bookmarkEnd w:id="34"/>
    <w:bookmarkStart w:id="35" w:name="data-aquisition"/>
    <w:p>
      <w:pPr>
        <w:pStyle w:val="Heading2"/>
      </w:pPr>
      <w:r>
        <w:t xml:space="preserve">4.2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5"/>
    <w:bookmarkStart w:id="36" w:name="data-import-and-cleaning"/>
    <w:p>
      <w:pPr>
        <w:pStyle w:val="Heading2"/>
      </w:pPr>
      <w:r>
        <w:t xml:space="preserve">4.3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6"/>
    <w:bookmarkStart w:id="37" w:name="statistical-analysis"/>
    <w:p>
      <w:pPr>
        <w:pStyle w:val="Heading2"/>
      </w:pPr>
      <w:r>
        <w:t xml:space="preserve">4.4 Statistical analysis</w:t>
      </w:r>
    </w:p>
    <w:p>
      <w:pPr>
        <w:pStyle w:val="FirstParagraph"/>
      </w:pPr>
      <w:r>
        <w:rPr>
          <w:iCs/>
          <w:i/>
        </w:rPr>
        <w:t xml:space="preserve">Explain anything related to your statistical analyses.</w:t>
      </w:r>
    </w:p>
    <w:p>
      <w:r>
        <w:br w:type="page"/>
      </w:r>
    </w:p>
    <w:bookmarkEnd w:id="37"/>
    <w:bookmarkEnd w:id="38"/>
    <w:bookmarkStart w:id="53" w:name="results"/>
    <w:p>
      <w:pPr>
        <w:pStyle w:val="Heading1"/>
      </w:pPr>
      <w:r>
        <w:t xml:space="preserve">5. Results</w:t>
      </w:r>
    </w:p>
    <w:bookmarkStart w:id="40"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39"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9"/>
    <w:bookmarkEnd w:id="40"/>
    <w:bookmarkStart w:id="45"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Pr>
      <w:tblGrid>
        <w:gridCol w:w="7920"/>
      </w:tblGrid>
      <w:tr>
        <w:tc>
          <w:tcPr/>
          <w:bookmarkStart w:id="44" w:name="fig-result"/>
          <w:p>
            <w:pPr>
              <w:jc w:val="center"/>
            </w:pPr>
            <w:r>
              <w:drawing>
                <wp:inline>
                  <wp:extent cx="5334000" cy="2701322"/>
                  <wp:effectExtent b="0" l="0" r="0" t="0"/>
                  <wp:docPr descr="" title="" id="42" name="Picture"/>
                  <a:graphic>
                    <a:graphicData uri="http://schemas.openxmlformats.org/drawingml/2006/picture">
                      <pic:pic>
                        <pic:nvPicPr>
                          <pic:cNvPr descr="../../results/figures/height-weight-stratified.png" id="43" name="Picture"/>
                          <pic:cNvPicPr>
                            <a:picLocks noChangeArrowheads="1" noChangeAspect="1"/>
                          </pic:cNvPicPr>
                        </pic:nvPicPr>
                        <pic:blipFill>
                          <a:blip r:embed="rId41"/>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4"/>
        </w:tc>
      </w:tr>
    </w:tbl>
    <w:bookmarkEnd w:id="45"/>
    <w:bookmarkStart w:id="52"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6" w:name="tbl-resulttable2"/>
    <w:p>
      <w:pPr>
        <w:pStyle w:val="TableCaption"/>
      </w:pPr>
      <w:r>
        <w:t xml:space="preserve">Table 2: Linear model fit table.</w:t>
      </w:r>
    </w:p>
    <w:tbl>
      <w:tblPr>
        <w:tblStyle w:val="Table"/>
        <w:tblW w:type="auto" w:w="0"/>
        <w:tblLook w:firstRow="1" w:lastRow="0" w:firstColumn="0" w:lastColumn="0" w:noHBand="0" w:noVBand="0" w:val="0020"/>
        <w:jc w:val="start"/>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46"/>
    <w:p>
      <w:r>
        <w:br w:type="page"/>
      </w:r>
    </w:p>
    <w:bookmarkStart w:id="51" w:name="refs"/>
    <w:bookmarkStart w:id="4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7">
        <w:r>
          <w:rPr>
            <w:rStyle w:val="Hyperlink"/>
          </w:rPr>
          <w:t xml:space="preserve">https://doi.org/10.1093/ofid/ofaa494</w:t>
        </w:r>
      </w:hyperlink>
    </w:p>
    <w:bookmarkEnd w:id="48"/>
    <w:bookmarkStart w:id="5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9">
        <w:r>
          <w:rPr>
            <w:rStyle w:val="Hyperlink"/>
          </w:rPr>
          <w:t xml:space="preserve">https://doi.org/10.1098/rspb.2020.0496</w:t>
        </w:r>
      </w:hyperlink>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2024-06-07T14:43:31Z</dcterms:created>
  <dcterms:modified xsi:type="dcterms:W3CDTF">2024-06-07T14:43:31Z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