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and</w:t>
      </w:r>
      <w:r>
        <w:t xml:space="preserve"> </w:t>
      </w:r>
      <w:r>
        <w:t xml:space="preserve">Preventing</w:t>
      </w:r>
      <w:r>
        <w:t xml:space="preserve"> </w:t>
      </w:r>
      <w:r>
        <w:t xml:space="preserve">Employee</w:t>
      </w:r>
      <w:r>
        <w:t xml:space="preserve"> </w:t>
      </w:r>
      <w:r>
        <w:t xml:space="preserve">Turnover</w:t>
      </w:r>
      <w:r>
        <w:t xml:space="preserve"> </w:t>
      </w:r>
      <w:r>
        <w:t xml:space="preserve">through</w:t>
      </w:r>
      <w:r>
        <w:t xml:space="preserve"> </w:t>
      </w:r>
      <w:r>
        <w:t xml:space="preserve">HR</w:t>
      </w:r>
      <w:r>
        <w:t xml:space="preserve"> </w:t>
      </w:r>
      <w:r>
        <w:t xml:space="preserve">Analytics</w:t>
      </w:r>
    </w:p>
    <w:p>
      <w:pPr>
        <w:pStyle w:val="Author"/>
      </w:pPr>
      <w:r>
        <w:t xml:space="preserve">Guillermo</w:t>
      </w:r>
      <w:r>
        <w:t xml:space="preserve"> </w:t>
      </w:r>
      <w:r>
        <w:t xml:space="preserve">Gallardo</w:t>
      </w:r>
    </w:p>
    <w:p>
      <w:pPr>
        <w:pStyle w:val="Date"/>
      </w:pPr>
      <w:r>
        <w:t xml:space="preserve">2024-06-06</w:t>
      </w:r>
    </w:p>
    <w:p>
      <w:pPr>
        <w:pStyle w:val="FirstParagraph"/>
      </w:pPr>
    </w:p>
    <w:bookmarkStart w:id="26" w:name="introduction"/>
    <w:p>
      <w:pPr>
        <w:pStyle w:val="Heading1"/>
      </w:pPr>
      <w:r>
        <w:t xml:space="preserve">1. Introduction</w:t>
      </w:r>
    </w:p>
    <w:bookmarkStart w:id="20" w:name="general-background-information"/>
    <w:p>
      <w:pPr>
        <w:pStyle w:val="Heading2"/>
      </w:pPr>
      <w:r>
        <w:t xml:space="preserve">1.1 General Background Information</w:t>
      </w:r>
    </w:p>
    <w:p>
      <w:pPr>
        <w:pStyle w:val="FirstParagraph"/>
      </w:pPr>
      <w:r>
        <w:t xml:space="preserve">The primary objective of this project is to identify the key factors contributing to employee turnover and to develop a model that can predict potential departures within a company. By anticipating these departures, we can create strategies for employee retention and enhance the overall employee experience.</w:t>
      </w:r>
    </w:p>
    <w:p>
      <w:pPr>
        <w:pStyle w:val="BodyText"/>
      </w:pPr>
      <w:r>
        <w:t xml:space="preserve">I find this dataset interesting, as it aligns with my previous experience in HR Analytics. Although I’ve worked in this field before, I never had the opportunity to work on project where we could predict attrition. This project allows me to deep dive into the data I am interested about, while also enhancing my skills in modeling using R.</w:t>
      </w:r>
    </w:p>
    <w:bookmarkEnd w:id="20"/>
    <w:bookmarkStart w:id="23" w:name="datasets"/>
    <w:p>
      <w:pPr>
        <w:pStyle w:val="Heading2"/>
      </w:pPr>
      <w:r>
        <w:t xml:space="preserve">1.2 Datasets</w:t>
      </w:r>
    </w:p>
    <w:p>
      <w:pPr>
        <w:pStyle w:val="FirstParagraph"/>
      </w:pPr>
      <w:r>
        <w:rPr>
          <w:bCs/>
          <w:b/>
        </w:rPr>
        <w:t xml:space="preserve">IBM HR Analytics Employee Attrition</w:t>
      </w:r>
    </w:p>
    <w:p>
      <w:pPr>
        <w:pStyle w:val="BodyText"/>
      </w:pPr>
      <w:r>
        <w:t xml:space="preserve">The dataset for this project was sourced from</w:t>
      </w:r>
      <w:r>
        <w:t xml:space="preserve"> </w:t>
      </w:r>
      <w:hyperlink r:id="rId21">
        <w:r>
          <w:rPr>
            <w:rStyle w:val="Hyperlink"/>
          </w:rPr>
          <w:t xml:space="preserve">Kaggle.com</w:t>
        </w:r>
      </w:hyperlink>
      <w:r>
        <w:t xml:space="preserve"> </w:t>
      </w:r>
      <w:r>
        <w:t xml:space="preserve">and was created by IBM Data Scientists as a fictional representation of HR data. It consists of 1,470 rows and 35 variables that cover demographic details, job characteristics, compensation, performance metrics, and employee satisfaction data. This data serves as the foundation for analyzing factors contributing to employee turnover and developing a predictive model.</w:t>
      </w:r>
    </w:p>
    <w:p>
      <w:pPr>
        <w:pStyle w:val="BodyText"/>
      </w:pPr>
      <w:r>
        <w:rPr>
          <w:bCs/>
          <w:b/>
        </w:rPr>
        <w:t xml:space="preserve">HR Analytics Case Study</w:t>
      </w:r>
    </w:p>
    <w:p>
      <w:pPr>
        <w:pStyle w:val="BodyText"/>
      </w:pPr>
      <w:r>
        <w:t xml:space="preserve">This data set was also sources from</w:t>
      </w:r>
      <w:r>
        <w:t xml:space="preserve"> </w:t>
      </w:r>
      <w:hyperlink r:id="rId22">
        <w:r>
          <w:rPr>
            <w:rStyle w:val="Hyperlink"/>
          </w:rPr>
          <w:t xml:space="preserve">Kaggle.com</w:t>
        </w:r>
      </w:hyperlink>
      <w:r>
        <w:t xml:space="preserve"> </w:t>
      </w:r>
      <w:r>
        <w:t xml:space="preserve">and the collaborators are Vijay Choudhary and Aman Kumar. This data set consists of 5 data files and 1 data dictionary file. Each of the data files, contains 4,410 rows and the main file contains 24 variables similar to the IBM file where it shows demographic information, job characteristics, compensation, survey data, etc. This file contains additional information that could help us</w:t>
      </w:r>
    </w:p>
    <w:bookmarkEnd w:id="23"/>
    <w:bookmarkStart w:id="24" w:name="concerns"/>
    <w:p>
      <w:pPr>
        <w:pStyle w:val="Heading2"/>
      </w:pPr>
      <w:r>
        <w:t xml:space="preserve">1.3 Concerns</w:t>
      </w:r>
    </w:p>
    <w:p>
      <w:pPr>
        <w:pStyle w:val="FirstParagraph"/>
      </w:pPr>
      <w:r>
        <w:t xml:space="preserve">The data</w:t>
      </w:r>
    </w:p>
    <w:p>
      <w:pPr>
        <w:pStyle w:val="BodyText"/>
      </w:pPr>
      <w:r>
        <w:rPr>
          <w:iCs/>
          <w:i/>
        </w:rPr>
        <w:t xml:space="preserve">DELETE —– Describe what the data is, what it contains, where it is from, etc. Eventually this might be part of a methods section.</w:t>
      </w:r>
    </w:p>
    <w:bookmarkEnd w:id="24"/>
    <w:bookmarkStart w:id="25" w:name="questionshypotheses-to-be-addressed"/>
    <w:p>
      <w:pPr>
        <w:pStyle w:val="Heading2"/>
      </w:pPr>
      <w:r>
        <w:t xml:space="preserve">1.4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5"/>
    <w:bookmarkEnd w:id="26"/>
    <w:bookmarkStart w:id="35" w:name="methods"/>
    <w:p>
      <w:pPr>
        <w:pStyle w:val="Heading1"/>
      </w:pPr>
      <w:r>
        <w:t xml:space="preserve">2.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1" w:name="schematic-of-workflow"/>
    <w:p>
      <w:pPr>
        <w:pStyle w:val="Heading2"/>
      </w:pPr>
      <w:r>
        <w:t xml:space="preserve">2.1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Pr>
      <w:tblGrid>
        <w:gridCol w:w="7920"/>
      </w:tblGrid>
      <w:tr>
        <w:tc>
          <w:tcPr/>
          <w:bookmarkStart w:id="30" w:name="fig-schematic"/>
          <w:p>
            <w:pPr>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2.2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2"/>
    <w:bookmarkStart w:id="33" w:name="data-import-and-cleaning"/>
    <w:p>
      <w:pPr>
        <w:pStyle w:val="Heading2"/>
      </w:pPr>
      <w:r>
        <w:t xml:space="preserve">2.3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3"/>
    <w:bookmarkStart w:id="34" w:name="statistical-analysis"/>
    <w:p>
      <w:pPr>
        <w:pStyle w:val="Heading2"/>
      </w:pPr>
      <w:r>
        <w:t xml:space="preserve">2.4 Statistical analysis</w:t>
      </w:r>
    </w:p>
    <w:p>
      <w:pPr>
        <w:pStyle w:val="FirstParagraph"/>
      </w:pPr>
      <w:r>
        <w:rPr>
          <w:iCs/>
          <w:i/>
        </w:rPr>
        <w:t xml:space="preserve">Explain anything related to your statistical analyses.</w:t>
      </w:r>
    </w:p>
    <w:p>
      <w:r>
        <w:br w:type="page"/>
      </w:r>
    </w:p>
    <w:bookmarkEnd w:id="34"/>
    <w:bookmarkEnd w:id="35"/>
    <w:bookmarkStart w:id="45" w:name="results"/>
    <w:p>
      <w:pPr>
        <w:pStyle w:val="Heading1"/>
      </w:pPr>
      <w:r>
        <w:t xml:space="preserve">3. Results</w:t>
      </w:r>
    </w:p>
    <w:bookmarkStart w:id="37" w:name="exploratorydescriptive-analysis"/>
    <w:p>
      <w:pPr>
        <w:pStyle w:val="Heading2"/>
      </w:pPr>
      <w:r>
        <w:t xml:space="preserve">3.1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Start w:id="36" w:name="tbl-summarytable"/>
    <w:p>
      <w:pPr>
        <w:pStyle w:val="TableCaption"/>
      </w:pPr>
      <w:r>
        <w:t xml:space="preserve">Table 1: Data summary table.</w:t>
      </w:r>
    </w:p>
    <w:tbl>
      <w:tblPr>
        <w:tblStyle w:val="Table"/>
        <w:tblW w:type="pct" w:w="5000"/>
        <w:tblLook w:firstRow="1" w:lastRow="0" w:firstColumn="0" w:lastColumn="0" w:noHBand="0" w:noVBand="0" w:val="0020"/>
        <w:jc w:val="start"/>
        <w:tblCaption w:val="Table 1: Data summary table."/>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factor.ordered</w:t>
            </w:r>
          </w:p>
        </w:tc>
        <w:tc>
          <w:tcPr/>
          <w:p>
            <w:pPr>
              <w:pStyle w:val="Compact"/>
              <w:jc w:val="right"/>
            </w:pPr>
            <w:r>
              <w:t xml:space="preserve">factor.n_unique</w:t>
            </w:r>
          </w:p>
        </w:tc>
        <w:tc>
          <w:tcPr/>
          <w:p>
            <w:pPr>
              <w:pStyle w:val="Compact"/>
              <w:jc w:val="left"/>
            </w:pPr>
            <w:r>
              <w:t xml:space="preserve">factor.top_counts</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factor</w:t>
            </w:r>
          </w:p>
        </w:tc>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 4, F: 3, O: 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165.66667</w:t>
            </w:r>
          </w:p>
        </w:tc>
        <w:tc>
          <w:tcPr/>
          <w:p>
            <w:pPr>
              <w:pStyle w:val="Compact"/>
              <w:jc w:val="right"/>
            </w:pPr>
            <w:r>
              <w:t xml:space="preserve">15.97655</w:t>
            </w:r>
          </w:p>
        </w:tc>
        <w:tc>
          <w:tcPr/>
          <w:p>
            <w:pPr>
              <w:pStyle w:val="Compact"/>
              <w:jc w:val="right"/>
            </w:pPr>
            <w:r>
              <w:t xml:space="preserve">133</w:t>
            </w:r>
          </w:p>
        </w:tc>
        <w:tc>
          <w:tcPr/>
          <w:p>
            <w:pPr>
              <w:pStyle w:val="Compact"/>
              <w:jc w:val="right"/>
            </w:pPr>
            <w:r>
              <w:t xml:space="preserve">156</w:t>
            </w:r>
          </w:p>
        </w:tc>
        <w:tc>
          <w:tcPr/>
          <w:p>
            <w:pPr>
              <w:pStyle w:val="Compact"/>
              <w:jc w:val="right"/>
            </w:pPr>
            <w:r>
              <w:t xml:space="preserve">166</w:t>
            </w:r>
          </w:p>
        </w:tc>
        <w:tc>
          <w:tcPr/>
          <w:p>
            <w:pPr>
              <w:pStyle w:val="Compact"/>
              <w:jc w:val="right"/>
            </w:pPr>
            <w:r>
              <w:t xml:space="preserve">178</w:t>
            </w:r>
          </w:p>
        </w:tc>
        <w:tc>
          <w:tcPr/>
          <w:p>
            <w:pPr>
              <w:pStyle w:val="Compact"/>
              <w:jc w:val="right"/>
            </w:pPr>
            <w:r>
              <w:t xml:space="preserve">183</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70.11111</w:t>
            </w:r>
          </w:p>
        </w:tc>
        <w:tc>
          <w:tcPr/>
          <w:p>
            <w:pPr>
              <w:pStyle w:val="Compact"/>
              <w:jc w:val="right"/>
            </w:pPr>
            <w:r>
              <w:t xml:space="preserve">21.24526</w:t>
            </w:r>
          </w:p>
        </w:tc>
        <w:tc>
          <w:tcPr/>
          <w:p>
            <w:pPr>
              <w:pStyle w:val="Compact"/>
              <w:jc w:val="right"/>
            </w:pPr>
            <w:r>
              <w:t xml:space="preserve">45</w:t>
            </w:r>
          </w:p>
        </w:tc>
        <w:tc>
          <w:tcPr/>
          <w:p>
            <w:pPr>
              <w:pStyle w:val="Compact"/>
              <w:jc w:val="right"/>
            </w:pPr>
            <w:r>
              <w:t xml:space="preserve">55</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110</w:t>
            </w:r>
          </w:p>
        </w:tc>
        <w:tc>
          <w:tcPr/>
          <w:p>
            <w:pPr>
              <w:pStyle w:val="Compact"/>
              <w:jc w:val="left"/>
            </w:pPr>
            <w:r>
              <w:t xml:space="preserve">▇▂▃▂▂</w:t>
            </w:r>
          </w:p>
        </w:tc>
      </w:tr>
    </w:tbl>
    <w:bookmarkEnd w:id="36"/>
    <w:bookmarkEnd w:id="37"/>
    <w:bookmarkStart w:id="42" w:name="basic-statistical-analysis"/>
    <w:p>
      <w:pPr>
        <w:pStyle w:val="Heading2"/>
      </w:pPr>
      <w:r>
        <w:t xml:space="preserve">3.2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Pr>
      <w:tblGrid>
        <w:gridCol w:w="7920"/>
      </w:tblGrid>
      <w:tr>
        <w:tc>
          <w:tcPr/>
          <w:bookmarkStart w:id="41" w:name="fig-result"/>
          <w:p>
            <w:pPr>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3.3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3" w:name="tbl-resulttable2"/>
    <w:p>
      <w:pPr>
        <w:pStyle w:val="TableCaption"/>
      </w:pPr>
      <w:r>
        <w:t xml:space="preserve">Table 2: Linear model fit table.</w:t>
      </w:r>
    </w:p>
    <w:tbl>
      <w:tblPr>
        <w:tblStyle w:val="Table"/>
        <w:tblW w:type="auto" w:w="0"/>
        <w:tblLook w:firstRow="1" w:lastRow="0" w:firstColumn="0" w:lastColumn="0" w:noHBand="0" w:noVBand="0" w:val="0020"/>
        <w:jc w:val="start"/>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43"/>
    <w:p>
      <w:r>
        <w:br w:type="page"/>
      </w:r>
    </w:p>
    <w:bookmarkEnd w:id="44"/>
    <w:bookmarkEnd w:id="45"/>
    <w:bookmarkStart w:id="50" w:name="discussion"/>
    <w:p>
      <w:pPr>
        <w:pStyle w:val="Heading1"/>
      </w:pPr>
      <w:r>
        <w:t xml:space="preserve">4. Discussion</w:t>
      </w:r>
    </w:p>
    <w:bookmarkStart w:id="46" w:name="summary-and-interpretation"/>
    <w:p>
      <w:pPr>
        <w:pStyle w:val="Heading2"/>
      </w:pPr>
      <w:r>
        <w:t xml:space="preserve">4.1 Summary and Interpretation</w:t>
      </w:r>
    </w:p>
    <w:p>
      <w:pPr>
        <w:pStyle w:val="FirstParagraph"/>
      </w:pPr>
      <w:r>
        <w:rPr>
          <w:iCs/>
          <w:i/>
        </w:rPr>
        <w:t xml:space="preserve">Summarize what you did, what you found and what it means.</w:t>
      </w:r>
    </w:p>
    <w:bookmarkEnd w:id="46"/>
    <w:bookmarkStart w:id="47" w:name="strengths-and-limitations"/>
    <w:p>
      <w:pPr>
        <w:pStyle w:val="Heading2"/>
      </w:pPr>
      <w:r>
        <w:t xml:space="preserve">4.2 Strengths and Limitations</w:t>
      </w:r>
    </w:p>
    <w:p>
      <w:pPr>
        <w:pStyle w:val="FirstParagraph"/>
      </w:pPr>
      <w:r>
        <w:rPr>
          <w:iCs/>
          <w:i/>
        </w:rPr>
        <w:t xml:space="preserve">Discuss what you perceive as strengths and limitations of your analysis.</w:t>
      </w:r>
    </w:p>
    <w:bookmarkEnd w:id="47"/>
    <w:bookmarkStart w:id="49" w:name="conclusions"/>
    <w:p>
      <w:pPr>
        <w:pStyle w:val="Heading2"/>
      </w:pPr>
      <w:r>
        <w:t xml:space="preserve">4.3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9"/>
    <w:bookmarkEnd w:id="50"/>
    <w:bookmarkStart w:id="58" w:name="references"/>
    <w:p>
      <w:pPr>
        <w:pStyle w:val="Heading1"/>
      </w:pPr>
      <w:r>
        <w:t xml:space="preserve">5. References</w:t>
      </w:r>
    </w:p>
    <w:bookmarkStart w:id="57" w:name="refs"/>
    <w:bookmarkStart w:id="52"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1">
        <w:r>
          <w:rPr>
            <w:rStyle w:val="Hyperlink"/>
          </w:rPr>
          <w:t xml:space="preserve">https://doi.org/10.1126/science.aaa6146</w:t>
        </w:r>
      </w:hyperlink>
    </w:p>
    <w:bookmarkEnd w:id="52"/>
    <w:bookmarkStart w:id="54"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3">
        <w:r>
          <w:rPr>
            <w:rStyle w:val="Hyperlink"/>
          </w:rPr>
          <w:t xml:space="preserve">https://doi.org/10.1093/ofid/ofaa494</w:t>
        </w:r>
      </w:hyperlink>
    </w:p>
    <w:bookmarkEnd w:id="54"/>
    <w:bookmarkStart w:id="56"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5">
        <w:r>
          <w:rPr>
            <w:rStyle w:val="Hyperlink"/>
          </w:rPr>
          <w:t xml:space="preserve">https://doi.org/10.1098/rspb.2020.0496</w:t>
        </w:r>
      </w:hyperlink>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hyperlink" Id="rId53" Target="https://doi.org/10.1093/ofid/ofaa494" TargetMode="External" /><Relationship Type="http://schemas.openxmlformats.org/officeDocument/2006/relationships/hyperlink" Id="rId55"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21" Target="https://www.kaggle.com/datasets/pavansubhasht/ibm-hr-analytics-attrition-dataset" TargetMode="External" /><Relationship Type="http://schemas.openxmlformats.org/officeDocument/2006/relationships/hyperlink" Id="rId22" Target="https://www.kaggle.com/datasets/vjchoudhary7/hr-analytics-case-study"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93/ofid/ofaa494" TargetMode="External" /><Relationship Type="http://schemas.openxmlformats.org/officeDocument/2006/relationships/hyperlink" Id="rId55"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21" Target="https://www.kaggle.com/datasets/pavansubhasht/ibm-hr-analytics-attrition-dataset" TargetMode="External" /><Relationship Type="http://schemas.openxmlformats.org/officeDocument/2006/relationships/hyperlink" Id="rId22" Target="https://www.kaggle.com/datasets/vjchoudhary7/hr-analytics-case-study"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Employee Turnover through HR Analytics</dc:title>
  <dc:creator>Guillermo Gallardo</dc:creator>
  <cp:keywords/>
  <dcterms:created xsi:type="dcterms:W3CDTF">2024-06-07T03:40:06Z</dcterms:created>
  <dcterms:modified xsi:type="dcterms:W3CDTF">2024-06-07T03:40:06Z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