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1F4E79"/>
          <w:sz w:val="36"/>
          <w:szCs w:val="36"/>
        </w:rPr>
        <w:t xml:space="preserve">MERIDIAN BANK OF SPRINGFIELD, N.A.</w:t>
      </w:r>
    </w:p>
    <w:p>
      <w:pPr>
        <w:spacing w:after="80" w:before="0"/>
        <w:jc w:val="center"/>
      </w:pPr>
      <w:r>
        <w:rPr>
          <w:rFonts w:ascii="Arial" w:cs="Arial" w:eastAsia="Arial" w:hAnsi="Arial"/>
          <w:b/>
          <w:bCs/>
          <w:color w:val="333333"/>
          <w:sz w:val="28"/>
          <w:szCs w:val="28"/>
        </w:rPr>
        <w:t xml:space="preserve">Residential Mortgage Underwriting Guidelines</w:t>
      </w:r>
    </w:p>
    <w:p>
      <w:pPr>
        <w:spacing w:after="40" w:before="0"/>
        <w:jc w:val="center"/>
      </w:pPr>
      <w:r>
        <w:rPr>
          <w:rFonts w:ascii="Arial" w:cs="Arial" w:eastAsia="Arial" w:hAnsi="Arial"/>
          <w:color w:val="666666"/>
          <w:sz w:val="18"/>
          <w:szCs w:val="18"/>
        </w:rPr>
        <w:t xml:space="preserve">Document ID: UW-2025-001  |  Version 3.2  |  Effective: January 1, 2025</w:t>
      </w:r>
    </w:p>
    <w:p>
      <w:pPr>
        <w:spacing w:after="80" w:before="80"/>
      </w:pPr>
      <w:r>
        <w:t xml:space="preserve"/>
      </w:r>
    </w:p>
    <w:p>
      <w:pPr>
        <w:pBdr>
          <w:top w:val="single" w:color="2E75B6" w:sz="4"/>
          <w:bottom w:val="single" w:color="2E75B6" w:sz="4"/>
          <w:left w:val="thick" w:color="2E75B6" w:sz="12"/>
          <w:right w:val="single" w:color="2E75B6" w:sz="4"/>
        </w:pBdr>
        <w:spacing w:after="120" w:before="120"/>
        <w:ind w:left="720" w:right="720"/>
      </w:pPr>
      <w:r>
        <w:rPr>
          <w:rFonts w:ascii="Arial" w:cs="Arial" w:eastAsia="Arial" w:hAnsi="Arial"/>
          <w:i/>
          <w:iCs/>
          <w:color w:val="333333"/>
          <w:sz w:val="18"/>
          <w:szCs w:val="18"/>
        </w:rPr>
        <w:t xml:space="preserve">INTERNAL USE ONLY — NOT FOR DISTRIBUTION. This document contains proprietary underwriting criteria for Meridian Bank of Springfield, N.A. lending staff. All exceptions require written approval per Section 7. Guidelines subject to change.</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1. Purpose and Scope</w:t>
      </w:r>
    </w:p>
    <w:p>
      <w:pPr>
        <w:spacing w:after="60" w:before="60"/>
      </w:pPr>
      <w:r>
        <w:rPr>
          <w:rFonts w:ascii="Arial" w:cs="Arial" w:eastAsia="Arial" w:hAnsi="Arial"/>
          <w:sz w:val="20"/>
          <w:szCs w:val="20"/>
        </w:rPr>
        <w:t xml:space="preserve">These guidelines establish the minimum underwriting standards for all residential mortgage loan originations at Meridian Bank of Springfield, N.A. (hereinafter "the Bank"). They apply to all first-lien residential mortgage products including conventional conforming, conventional jumbo, FHA-insured, VA-guaranteed, and USDA Rural Development loans.</w:t>
      </w:r>
    </w:p>
    <w:p>
      <w:pPr>
        <w:spacing w:after="60" w:before="60"/>
      </w:pPr>
      <w:r>
        <w:rPr>
          <w:rFonts w:ascii="Arial" w:cs="Arial" w:eastAsia="Arial" w:hAnsi="Arial"/>
          <w:sz w:val="20"/>
          <w:szCs w:val="20"/>
        </w:rPr>
        <w:t xml:space="preserve">These guidelines are in addition to, and do not supersede, applicable federal and state law, agency guidelines (Fannie Mae Selling Guide, Freddie Mac Single-Family Seller/Servicer Guide, FHA Handbook 4000.1, VA Lender's Handbook), or investor overlays in effect at the time of origination.</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2. Borrower Eligibility</w:t>
      </w:r>
    </w:p>
    <w:p>
      <w:pPr>
        <w:pStyle w:val="Heading2"/>
        <w:spacing w:after="80" w:before="240"/>
      </w:pPr>
      <w:r>
        <w:rPr>
          <w:rFonts w:ascii="Arial" w:cs="Arial" w:eastAsia="Arial" w:hAnsi="Arial"/>
          <w:b/>
          <w:bCs/>
          <w:color w:val="1F4E79"/>
          <w:sz w:val="24"/>
          <w:szCs w:val="24"/>
        </w:rPr>
        <w:t xml:space="preserve">2.1 Citizenship and Residency</w:t>
      </w:r>
    </w:p>
    <w:p>
      <w:pPr>
        <w:pStyle w:val="ListParagraph"/>
        <w:numPr>
          <w:ilvl w:val="0"/>
          <w:numId w:val="2"/>
        </w:numPr>
        <w:spacing w:after="40" w:before="40"/>
      </w:pPr>
      <w:r>
        <w:rPr>
          <w:rFonts w:ascii="Arial" w:cs="Arial" w:eastAsia="Arial" w:hAnsi="Arial"/>
          <w:sz w:val="20"/>
          <w:szCs w:val="20"/>
        </w:rPr>
        <w:t xml:space="preserve">U.S. Citizens: Eligible for all loan products.</w:t>
      </w:r>
    </w:p>
    <w:p>
      <w:pPr>
        <w:pStyle w:val="ListParagraph"/>
        <w:numPr>
          <w:ilvl w:val="0"/>
          <w:numId w:val="2"/>
        </w:numPr>
        <w:spacing w:after="40" w:before="40"/>
      </w:pPr>
      <w:r>
        <w:rPr>
          <w:rFonts w:ascii="Arial" w:cs="Arial" w:eastAsia="Arial" w:hAnsi="Arial"/>
          <w:sz w:val="20"/>
          <w:szCs w:val="20"/>
        </w:rPr>
        <w:t xml:space="preserve">Permanent Resident Aliens: Eligible for all loan products with valid Permanent Resident Card (Form I-551).</w:t>
      </w:r>
    </w:p>
    <w:p>
      <w:pPr>
        <w:pStyle w:val="ListParagraph"/>
        <w:numPr>
          <w:ilvl w:val="0"/>
          <w:numId w:val="2"/>
        </w:numPr>
        <w:spacing w:after="40" w:before="40"/>
      </w:pPr>
      <w:r>
        <w:rPr>
          <w:rFonts w:ascii="Arial" w:cs="Arial" w:eastAsia="Arial" w:hAnsi="Arial"/>
          <w:sz w:val="20"/>
          <w:szCs w:val="20"/>
        </w:rPr>
        <w:t xml:space="preserve">Non-Permanent Resident Aliens: Eligible for conventional products only. Must have valid Employment Authorization Document (EAD) with expiration beyond loan closing. Not eligible for FHA, VA, or USDA products.</w:t>
      </w:r>
    </w:p>
    <w:p>
      <w:pPr>
        <w:pStyle w:val="ListParagraph"/>
        <w:numPr>
          <w:ilvl w:val="0"/>
          <w:numId w:val="2"/>
        </w:numPr>
        <w:spacing w:after="40" w:before="40"/>
      </w:pPr>
      <w:r>
        <w:rPr>
          <w:rFonts w:ascii="Arial" w:cs="Arial" w:eastAsia="Arial" w:hAnsi="Arial"/>
          <w:sz w:val="20"/>
          <w:szCs w:val="20"/>
        </w:rPr>
        <w:t xml:space="preserve">Foreign Nationals: Not eligible for any residential mortgage product under these guidelines.</w:t>
      </w:r>
    </w:p>
    <w:p>
      <w:pPr>
        <w:spacing w:after="80" w:before="80"/>
      </w:pPr>
      <w:r>
        <w:t xml:space="preserve"/>
      </w:r>
    </w:p>
    <w:p>
      <w:pPr>
        <w:pStyle w:val="Heading2"/>
        <w:spacing w:after="80" w:before="240"/>
      </w:pPr>
      <w:r>
        <w:rPr>
          <w:rFonts w:ascii="Arial" w:cs="Arial" w:eastAsia="Arial" w:hAnsi="Arial"/>
          <w:b/>
          <w:bCs/>
          <w:color w:val="1F4E79"/>
          <w:sz w:val="24"/>
          <w:szCs w:val="24"/>
        </w:rPr>
        <w:t xml:space="preserve">2.2 Minimum Age</w:t>
      </w:r>
    </w:p>
    <w:p>
      <w:pPr>
        <w:spacing w:after="60" w:before="60"/>
      </w:pPr>
      <w:r>
        <w:rPr>
          <w:rFonts w:ascii="Arial" w:cs="Arial" w:eastAsia="Arial" w:hAnsi="Arial"/>
          <w:sz w:val="20"/>
          <w:szCs w:val="20"/>
        </w:rPr>
        <w:t xml:space="preserve">Borrowers must be of legal contracting age in the state where the subject property is located (18 years in most states).</w:t>
      </w:r>
    </w:p>
    <w:p>
      <w:pPr>
        <w:spacing w:after="80" w:before="80"/>
      </w:pPr>
      <w:r>
        <w:t xml:space="preserve"/>
      </w:r>
    </w:p>
    <w:p>
      <w:pPr>
        <w:pStyle w:val="Heading2"/>
        <w:spacing w:after="80" w:before="240"/>
      </w:pPr>
      <w:r>
        <w:rPr>
          <w:rFonts w:ascii="Arial" w:cs="Arial" w:eastAsia="Arial" w:hAnsi="Arial"/>
          <w:b/>
          <w:bCs/>
          <w:color w:val="1F4E79"/>
          <w:sz w:val="24"/>
          <w:szCs w:val="24"/>
        </w:rPr>
        <w:t xml:space="preserve">2.3 Number of Financed Properties</w:t>
      </w:r>
    </w:p>
    <w:p>
      <w:pPr>
        <w:pStyle w:val="ListParagraph"/>
        <w:numPr>
          <w:ilvl w:val="0"/>
          <w:numId w:val="2"/>
        </w:numPr>
        <w:spacing w:after="40" w:before="40"/>
      </w:pPr>
      <w:r>
        <w:rPr>
          <w:rFonts w:ascii="Arial" w:cs="Arial" w:eastAsia="Arial" w:hAnsi="Arial"/>
          <w:sz w:val="20"/>
          <w:szCs w:val="20"/>
        </w:rPr>
        <w:t xml:space="preserve">Conventional (owner-occupied): Maximum 10 financed properties per Fannie Mae guidelines.</w:t>
      </w:r>
    </w:p>
    <w:p>
      <w:pPr>
        <w:pStyle w:val="ListParagraph"/>
        <w:numPr>
          <w:ilvl w:val="0"/>
          <w:numId w:val="2"/>
        </w:numPr>
        <w:spacing w:after="40" w:before="40"/>
      </w:pPr>
      <w:r>
        <w:rPr>
          <w:rFonts w:ascii="Arial" w:cs="Arial" w:eastAsia="Arial" w:hAnsi="Arial"/>
          <w:sz w:val="20"/>
          <w:szCs w:val="20"/>
        </w:rPr>
        <w:t xml:space="preserve">Conventional (investment): Maximum 10 financed properties. Additional overlays apply at 7+ financed properties (see Section 6.4).</w:t>
      </w:r>
    </w:p>
    <w:p>
      <w:pPr>
        <w:pStyle w:val="ListParagraph"/>
        <w:numPr>
          <w:ilvl w:val="0"/>
          <w:numId w:val="2"/>
        </w:numPr>
        <w:spacing w:after="40" w:before="40"/>
      </w:pPr>
      <w:r>
        <w:rPr>
          <w:rFonts w:ascii="Arial" w:cs="Arial" w:eastAsia="Arial" w:hAnsi="Arial"/>
          <w:sz w:val="20"/>
          <w:szCs w:val="20"/>
        </w:rPr>
        <w:t xml:space="preserve">FHA/VA/USDA: Subject to applicable agency guidelines on multiple concurrent loans.</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3. Credit Requirements</w:t>
      </w:r>
    </w:p>
    <w:p>
      <w:pPr>
        <w:pStyle w:val="Heading2"/>
        <w:spacing w:after="80" w:before="240"/>
      </w:pPr>
      <w:r>
        <w:rPr>
          <w:rFonts w:ascii="Arial" w:cs="Arial" w:eastAsia="Arial" w:hAnsi="Arial"/>
          <w:b/>
          <w:bCs/>
          <w:color w:val="1F4E79"/>
          <w:sz w:val="24"/>
          <w:szCs w:val="24"/>
        </w:rPr>
        <w:t xml:space="preserve">3.1 Minimum Credit Score by Product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500"/>
        <w:gridCol w:w="1440"/>
        <w:gridCol w:w="2820"/>
      </w:tblGrid>
      <w:tr>
        <w:trPr>
          <w:tblHeader/>
        </w:trPr>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Product</w:t>
            </w:r>
          </w:p>
        </w:tc>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Minimum FICO</w:t>
            </w:r>
          </w:p>
        </w:tc>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rPr>
          <w:tblHeader w:val="false"/>
        </w:trP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Conventional Conforming — Owner Occupied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620</w:t>
            </w:r>
          </w:p>
        </w:tc>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DTI restrictions apply below 680</w:t>
            </w:r>
          </w:p>
        </w:tc>
      </w:tr>
      <w:tr>
        <w:trPr>
          <w:tblHeader w:val="false"/>
        </w:trP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Conventional Conforming — Second Home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640</w:t>
            </w:r>
          </w:p>
        </w:tc>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rPr>
          <w:tblHeader w:val="false"/>
        </w:trP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Conventional Conforming — Investment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680</w:t>
            </w:r>
          </w:p>
        </w:tc>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r>
        <w:trPr>
          <w:tblHeader w:val="false"/>
        </w:trP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Conventional Jumbo (loan &gt; $766,550)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700</w:t>
            </w:r>
          </w:p>
        </w:tc>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720 required above $1.5M</w:t>
            </w:r>
          </w:p>
        </w:tc>
      </w:tr>
      <w:tr>
        <w:trPr>
          <w:tblHeader w:val="false"/>
        </w:trP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FHA — Owner Occupied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580</w:t>
            </w:r>
          </w:p>
        </w:tc>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3.5% minimum down payment</w:t>
            </w:r>
          </w:p>
        </w:tc>
      </w:tr>
      <w:tr>
        <w:trPr>
          <w:tblHeader w:val="false"/>
        </w:trP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FHA — Owner Occupied (10% down)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500</w:t>
            </w:r>
          </w:p>
        </w:tc>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10% minimum down payment required</w:t>
            </w:r>
          </w:p>
        </w:tc>
      </w:tr>
      <w:tr>
        <w:trPr>
          <w:tblHeader w:val="false"/>
        </w:trP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VA — Owner Occupied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580</w:t>
            </w:r>
          </w:p>
        </w:tc>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No VA minimum; Bank overlay applies</w:t>
            </w:r>
          </w:p>
        </w:tc>
      </w:tr>
      <w:tr>
        <w:trPr>
          <w:tblHeader w:val="false"/>
        </w:trP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USDA Rural Development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640</w:t>
            </w:r>
          </w:p>
        </w:tc>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
            </w:r>
          </w:p>
        </w:tc>
      </w:tr>
    </w:tbl>
    <w:p>
      <w:pPr>
        <w:spacing w:after="80" w:before="80"/>
      </w:pPr>
      <w:r>
        <w:t xml:space="preserve"/>
      </w:r>
    </w:p>
    <w:p>
      <w:pPr>
        <w:spacing w:after="60" w:before="60"/>
      </w:pPr>
      <w:r>
        <w:rPr>
          <w:rFonts w:ascii="Arial" w:cs="Arial" w:eastAsia="Arial" w:hAnsi="Arial"/>
          <w:sz w:val="20"/>
          <w:szCs w:val="20"/>
        </w:rPr>
        <w:t xml:space="preserve">Scores are determined using the middle of three scores (or lower of two if only two bureaus report). When there are multiple borrowers, use the lowest qualifying score among all borrowers.</w:t>
      </w:r>
    </w:p>
    <w:p>
      <w:pPr>
        <w:spacing w:after="80" w:before="80"/>
      </w:pPr>
      <w:r>
        <w:t xml:space="preserve"/>
      </w:r>
    </w:p>
    <w:p>
      <w:pPr>
        <w:pStyle w:val="Heading2"/>
        <w:spacing w:after="80" w:before="240"/>
      </w:pPr>
      <w:r>
        <w:rPr>
          <w:rFonts w:ascii="Arial" w:cs="Arial" w:eastAsia="Arial" w:hAnsi="Arial"/>
          <w:b/>
          <w:bCs/>
          <w:color w:val="1F4E79"/>
          <w:sz w:val="24"/>
          <w:szCs w:val="24"/>
        </w:rPr>
        <w:t xml:space="preserve">3.2 Credit History Requirements</w:t>
      </w:r>
    </w:p>
    <w:p>
      <w:pPr>
        <w:pStyle w:val="ListParagraph"/>
        <w:numPr>
          <w:ilvl w:val="0"/>
          <w:numId w:val="2"/>
        </w:numPr>
        <w:spacing w:after="40" w:before="40"/>
      </w:pPr>
      <w:r>
        <w:rPr>
          <w:rFonts w:ascii="Arial" w:cs="Arial" w:eastAsia="Arial" w:hAnsi="Arial"/>
          <w:sz w:val="20"/>
          <w:szCs w:val="20"/>
        </w:rPr>
        <w:t xml:space="preserve">Bankruptcies: Chapter 7 — 4-year waiting period from discharge (conventional); 2 years (FHA/VA). Chapter 13 — 2-year waiting period from discharge, or 4 years from dismissal (conventional); 1 year into repayment with court approval and satisfactory payment history (FHA).</w:t>
      </w:r>
    </w:p>
    <w:p>
      <w:pPr>
        <w:pStyle w:val="ListParagraph"/>
        <w:numPr>
          <w:ilvl w:val="0"/>
          <w:numId w:val="2"/>
        </w:numPr>
        <w:spacing w:after="40" w:before="40"/>
      </w:pPr>
      <w:r>
        <w:rPr>
          <w:rFonts w:ascii="Arial" w:cs="Arial" w:eastAsia="Arial" w:hAnsi="Arial"/>
          <w:sz w:val="20"/>
          <w:szCs w:val="20"/>
        </w:rPr>
        <w:t xml:space="preserve">Foreclosure / Deed-in-Lieu / Short Sale: 7-year waiting period (conventional standard); 3 years (FHA); 2 years (VA). Exceptions may apply with documented extenuating circumstances — see Section 7.</w:t>
      </w:r>
    </w:p>
    <w:p>
      <w:pPr>
        <w:pStyle w:val="ListParagraph"/>
        <w:numPr>
          <w:ilvl w:val="0"/>
          <w:numId w:val="2"/>
        </w:numPr>
        <w:spacing w:after="40" w:before="40"/>
      </w:pPr>
      <w:r>
        <w:rPr>
          <w:rFonts w:ascii="Arial" w:cs="Arial" w:eastAsia="Arial" w:hAnsi="Arial"/>
          <w:sz w:val="20"/>
          <w:szCs w:val="20"/>
        </w:rPr>
        <w:t xml:space="preserve">Collections and Charge-offs: Medical collections may be excluded. Non-medical collections totaling more than $2,000 must be paid in full at or prior to closing for conventional loans.</w:t>
      </w:r>
    </w:p>
    <w:p>
      <w:pPr>
        <w:pStyle w:val="ListParagraph"/>
        <w:numPr>
          <w:ilvl w:val="0"/>
          <w:numId w:val="2"/>
        </w:numPr>
        <w:spacing w:after="40" w:before="40"/>
      </w:pPr>
      <w:r>
        <w:rPr>
          <w:rFonts w:ascii="Arial" w:cs="Arial" w:eastAsia="Arial" w:hAnsi="Arial"/>
          <w:sz w:val="20"/>
          <w:szCs w:val="20"/>
        </w:rPr>
        <w:t xml:space="preserve">Late Payments: No 30-day mortgage late payments within 12 months of application. No 60-day late payments on any tradeline within 24 months.</w:t>
      </w:r>
    </w:p>
    <w:p>
      <w:pPr>
        <w:spacing w:after="80" w:before="80"/>
      </w:pPr>
      <w:r>
        <w:t xml:space="preserve"/>
      </w:r>
    </w:p>
    <w:p>
      <w:pPr>
        <w:pStyle w:val="Heading2"/>
        <w:spacing w:after="80" w:before="240"/>
      </w:pPr>
      <w:r>
        <w:rPr>
          <w:rFonts w:ascii="Arial" w:cs="Arial" w:eastAsia="Arial" w:hAnsi="Arial"/>
          <w:b/>
          <w:bCs/>
          <w:color w:val="1F4E79"/>
          <w:sz w:val="24"/>
          <w:szCs w:val="24"/>
        </w:rPr>
        <w:t xml:space="preserve">3.3 Minimum Tradeline Requirements</w:t>
      </w:r>
    </w:p>
    <w:p>
      <w:pPr>
        <w:spacing w:after="60" w:before="60"/>
      </w:pPr>
      <w:r>
        <w:rPr>
          <w:rFonts w:ascii="Arial" w:cs="Arial" w:eastAsia="Arial" w:hAnsi="Arial"/>
          <w:sz w:val="20"/>
          <w:szCs w:val="20"/>
        </w:rPr>
        <w:t xml:space="preserve">Conventional: Minimum 3 open tradelines with 12-month history, or 2 tradelines with 24-month history. FHA/VA/USDA: Per agency guidelines. Non-traditional credit (utility payments, rental history) may be used for FHA only when traditional credit is insufficient.</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4. Income and Employment</w:t>
      </w:r>
    </w:p>
    <w:p>
      <w:pPr>
        <w:pStyle w:val="Heading2"/>
        <w:spacing w:after="80" w:before="240"/>
      </w:pPr>
      <w:r>
        <w:rPr>
          <w:rFonts w:ascii="Arial" w:cs="Arial" w:eastAsia="Arial" w:hAnsi="Arial"/>
          <w:b/>
          <w:bCs/>
          <w:color w:val="1F4E79"/>
          <w:sz w:val="24"/>
          <w:szCs w:val="24"/>
        </w:rPr>
        <w:t xml:space="preserve">4.1 Employment History</w:t>
      </w:r>
    </w:p>
    <w:p>
      <w:pPr>
        <w:pStyle w:val="ListParagraph"/>
        <w:numPr>
          <w:ilvl w:val="0"/>
          <w:numId w:val="2"/>
        </w:numPr>
        <w:spacing w:after="40" w:before="40"/>
      </w:pPr>
      <w:r>
        <w:rPr>
          <w:rFonts w:ascii="Arial" w:cs="Arial" w:eastAsia="Arial" w:hAnsi="Arial"/>
          <w:sz w:val="20"/>
          <w:szCs w:val="20"/>
        </w:rPr>
        <w:t xml:space="preserve">Minimum 2-year history of employment or self-employment in same field required.</w:t>
      </w:r>
    </w:p>
    <w:p>
      <w:pPr>
        <w:pStyle w:val="ListParagraph"/>
        <w:numPr>
          <w:ilvl w:val="0"/>
          <w:numId w:val="2"/>
        </w:numPr>
        <w:spacing w:after="40" w:before="40"/>
      </w:pPr>
      <w:r>
        <w:rPr>
          <w:rFonts w:ascii="Arial" w:cs="Arial" w:eastAsia="Arial" w:hAnsi="Arial"/>
          <w:sz w:val="20"/>
          <w:szCs w:val="20"/>
        </w:rPr>
        <w:t xml:space="preserve">Job changes within the same field acceptable if no gap exceeding 30 days.</w:t>
      </w:r>
    </w:p>
    <w:p>
      <w:pPr>
        <w:pStyle w:val="ListParagraph"/>
        <w:numPr>
          <w:ilvl w:val="0"/>
          <w:numId w:val="2"/>
        </w:numPr>
        <w:spacing w:after="40" w:before="40"/>
      </w:pPr>
      <w:r>
        <w:rPr>
          <w:rFonts w:ascii="Arial" w:cs="Arial" w:eastAsia="Arial" w:hAnsi="Arial"/>
          <w:sz w:val="20"/>
          <w:szCs w:val="20"/>
        </w:rPr>
        <w:t xml:space="preserve">Recent college graduates: 2-year history may include time in school if employed in field of study.</w:t>
      </w:r>
    </w:p>
    <w:p>
      <w:pPr>
        <w:pStyle w:val="ListParagraph"/>
        <w:numPr>
          <w:ilvl w:val="0"/>
          <w:numId w:val="2"/>
        </w:numPr>
        <w:spacing w:after="40" w:before="40"/>
      </w:pPr>
      <w:r>
        <w:rPr>
          <w:rFonts w:ascii="Arial" w:cs="Arial" w:eastAsia="Arial" w:hAnsi="Arial"/>
          <w:sz w:val="20"/>
          <w:szCs w:val="20"/>
        </w:rPr>
        <w:t xml:space="preserve">Gaps in employment exceeding 30 days within the past 2 years require written explanation.</w:t>
      </w:r>
    </w:p>
    <w:p>
      <w:pPr>
        <w:spacing w:after="80" w:before="80"/>
      </w:pPr>
      <w:r>
        <w:t xml:space="preserve"/>
      </w:r>
    </w:p>
    <w:p>
      <w:pPr>
        <w:pStyle w:val="Heading2"/>
        <w:spacing w:after="80" w:before="240"/>
      </w:pPr>
      <w:r>
        <w:rPr>
          <w:rFonts w:ascii="Arial" w:cs="Arial" w:eastAsia="Arial" w:hAnsi="Arial"/>
          <w:b/>
          <w:bCs/>
          <w:color w:val="1F4E79"/>
          <w:sz w:val="24"/>
          <w:szCs w:val="24"/>
        </w:rPr>
        <w:t xml:space="preserve">4.2 Income Documentation</w:t>
      </w:r>
    </w:p>
    <w:p>
      <w:pPr>
        <w:pStyle w:val="ListParagraph"/>
        <w:numPr>
          <w:ilvl w:val="0"/>
          <w:numId w:val="2"/>
        </w:numPr>
        <w:spacing w:after="40" w:before="40"/>
      </w:pPr>
      <w:r>
        <w:rPr>
          <w:rFonts w:ascii="Arial" w:cs="Arial" w:eastAsia="Arial" w:hAnsi="Arial"/>
          <w:sz w:val="20"/>
          <w:szCs w:val="20"/>
        </w:rPr>
        <w:t xml:space="preserve">W-2 Employees: Most recent 30 days pay stubs; W-2s for past 2 years; federal tax returns for past 2 years if income includes overtime, bonus, or commission exceeding 25% of base salary.</w:t>
      </w:r>
    </w:p>
    <w:p>
      <w:pPr>
        <w:pStyle w:val="ListParagraph"/>
        <w:numPr>
          <w:ilvl w:val="0"/>
          <w:numId w:val="2"/>
        </w:numPr>
        <w:spacing w:after="40" w:before="40"/>
      </w:pPr>
      <w:r>
        <w:rPr>
          <w:rFonts w:ascii="Arial" w:cs="Arial" w:eastAsia="Arial" w:hAnsi="Arial"/>
          <w:sz w:val="20"/>
          <w:szCs w:val="20"/>
        </w:rPr>
        <w:t xml:space="preserve">Self-Employed (25%+ ownership): 2 years signed federal personal and business tax returns; year-to-date Profit &amp; Loss statement; 3 months business bank statements.</w:t>
      </w:r>
    </w:p>
    <w:p>
      <w:pPr>
        <w:pStyle w:val="ListParagraph"/>
        <w:numPr>
          <w:ilvl w:val="0"/>
          <w:numId w:val="2"/>
        </w:numPr>
        <w:spacing w:after="40" w:before="40"/>
      </w:pPr>
      <w:r>
        <w:rPr>
          <w:rFonts w:ascii="Arial" w:cs="Arial" w:eastAsia="Arial" w:hAnsi="Arial"/>
          <w:sz w:val="20"/>
          <w:szCs w:val="20"/>
        </w:rPr>
        <w:t xml:space="preserve">Retirement / Social Security: Award letter or benefit statement; 2 months bank statements confirming receipt.</w:t>
      </w:r>
    </w:p>
    <w:p>
      <w:pPr>
        <w:pStyle w:val="ListParagraph"/>
        <w:numPr>
          <w:ilvl w:val="0"/>
          <w:numId w:val="2"/>
        </w:numPr>
        <w:spacing w:after="40" w:before="40"/>
      </w:pPr>
      <w:r>
        <w:rPr>
          <w:rFonts w:ascii="Arial" w:cs="Arial" w:eastAsia="Arial" w:hAnsi="Arial"/>
          <w:sz w:val="20"/>
          <w:szCs w:val="20"/>
        </w:rPr>
        <w:t xml:space="preserve">Rental Income: 2 years tax returns (Schedule E); current lease agreements; vacancy factor of 25% applied to gross rental income.</w:t>
      </w:r>
    </w:p>
    <w:p>
      <w:pPr>
        <w:spacing w:after="80" w:before="80"/>
      </w:pPr>
      <w:r>
        <w:t xml:space="preserve"/>
      </w:r>
    </w:p>
    <w:p>
      <w:pPr>
        <w:pStyle w:val="Heading2"/>
        <w:spacing w:after="80" w:before="240"/>
      </w:pPr>
      <w:r>
        <w:rPr>
          <w:rFonts w:ascii="Arial" w:cs="Arial" w:eastAsia="Arial" w:hAnsi="Arial"/>
          <w:b/>
          <w:bCs/>
          <w:color w:val="1F4E79"/>
          <w:sz w:val="24"/>
          <w:szCs w:val="24"/>
        </w:rPr>
        <w:t xml:space="preserve">4.3 Qualifying Income Guidelines</w:t>
      </w:r>
    </w:p>
    <w:p>
      <w:pPr>
        <w:pStyle w:val="ListParagraph"/>
        <w:numPr>
          <w:ilvl w:val="0"/>
          <w:numId w:val="2"/>
        </w:numPr>
        <w:spacing w:after="40" w:before="40"/>
      </w:pPr>
      <w:r>
        <w:rPr>
          <w:rFonts w:ascii="Arial" w:cs="Arial" w:eastAsia="Arial" w:hAnsi="Arial"/>
          <w:sz w:val="20"/>
          <w:szCs w:val="20"/>
        </w:rPr>
        <w:t xml:space="preserve">Overtime and bonus income: 2-year average required; must be likely to continue.</w:t>
      </w:r>
    </w:p>
    <w:p>
      <w:pPr>
        <w:pStyle w:val="ListParagraph"/>
        <w:numPr>
          <w:ilvl w:val="0"/>
          <w:numId w:val="2"/>
        </w:numPr>
        <w:spacing w:after="40" w:before="40"/>
      </w:pPr>
      <w:r>
        <w:rPr>
          <w:rFonts w:ascii="Arial" w:cs="Arial" w:eastAsia="Arial" w:hAnsi="Arial"/>
          <w:sz w:val="20"/>
          <w:szCs w:val="20"/>
        </w:rPr>
        <w:t xml:space="preserve">Commission income: 2-year average; 24-month history required; unreimbursed business expenses deducted.</w:t>
      </w:r>
    </w:p>
    <w:p>
      <w:pPr>
        <w:pStyle w:val="ListParagraph"/>
        <w:numPr>
          <w:ilvl w:val="0"/>
          <w:numId w:val="2"/>
        </w:numPr>
        <w:spacing w:after="40" w:before="40"/>
      </w:pPr>
      <w:r>
        <w:rPr>
          <w:rFonts w:ascii="Arial" w:cs="Arial" w:eastAsia="Arial" w:hAnsi="Arial"/>
          <w:sz w:val="20"/>
          <w:szCs w:val="20"/>
        </w:rPr>
        <w:t xml:space="preserve">Self-employment income: Lower of 1-year or 2-year average of net income after add-backs.</w:t>
      </w:r>
    </w:p>
    <w:p>
      <w:pPr>
        <w:pStyle w:val="ListParagraph"/>
        <w:numPr>
          <w:ilvl w:val="0"/>
          <w:numId w:val="2"/>
        </w:numPr>
        <w:spacing w:after="40" w:before="40"/>
      </w:pPr>
      <w:r>
        <w:rPr>
          <w:rFonts w:ascii="Arial" w:cs="Arial" w:eastAsia="Arial" w:hAnsi="Arial"/>
          <w:sz w:val="20"/>
          <w:szCs w:val="20"/>
        </w:rPr>
        <w:t xml:space="preserve">Income trending downward year-over-year: Lower year must be used; declining trend requires underwriter review.</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5. Debt-to-Income (DTI) Ratios</w:t>
      </w:r>
    </w:p>
    <w:p>
      <w:pPr>
        <w:pStyle w:val="Heading2"/>
        <w:spacing w:after="80" w:before="240"/>
      </w:pPr>
      <w:r>
        <w:rPr>
          <w:rFonts w:ascii="Arial" w:cs="Arial" w:eastAsia="Arial" w:hAnsi="Arial"/>
          <w:b/>
          <w:bCs/>
          <w:color w:val="1F4E79"/>
          <w:sz w:val="24"/>
          <w:szCs w:val="24"/>
        </w:rPr>
        <w:t xml:space="preserve">5.1 Maximum DTI by Product</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520"/>
        <w:gridCol w:w="1680"/>
        <w:gridCol w:w="1680"/>
        <w:gridCol w:w="2880"/>
      </w:tblGrid>
      <w:tr>
        <w:trPr>
          <w:tblHeader/>
        </w:trPr>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Product</w:t>
            </w:r>
          </w:p>
        </w:tc>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Max Front-End DTI</w:t>
            </w:r>
          </w:p>
        </w:tc>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Max Back-End DTI</w:t>
            </w:r>
          </w:p>
        </w:tc>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rPr>
          <w:tblHeader w:val="false"/>
        </w:trP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Conventional Conforming</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28%</w:t>
            </w:r>
          </w:p>
        </w:tc>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43%</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Up to 50% with DU/LP Approve and compensating factors</w:t>
            </w:r>
          </w:p>
        </w:tc>
      </w:tr>
      <w:tr>
        <w:trPr>
          <w:tblHeader w:val="false"/>
        </w:trP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Conventional Jumbo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33%</w:t>
            </w:r>
          </w:p>
        </w:tc>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43%</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AUS exception; manual underwrite only above 43%</w:t>
            </w:r>
          </w:p>
        </w:tc>
      </w:tr>
      <w:tr>
        <w:trPr>
          <w:tblHeader w:val="false"/>
        </w:trP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FHA</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31%</w:t>
            </w:r>
          </w:p>
        </w:tc>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43%</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Up to 57% with AUS Approve/Accept and compensating factors</w:t>
            </w:r>
          </w:p>
        </w:tc>
      </w:tr>
      <w:tr>
        <w:trPr>
          <w:tblHeader w:val="false"/>
        </w:trP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VA</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N/A (residual income test)</w:t>
            </w:r>
          </w:p>
        </w:tc>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41%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Residual income calculation required</w:t>
            </w:r>
          </w:p>
        </w:tc>
      </w:tr>
      <w:tr>
        <w:trPr>
          <w:tblHeader w:val="false"/>
        </w:trP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USDA</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29%</w:t>
            </w:r>
          </w:p>
        </w:tc>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41%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Up to 44% back-end with AUS approval</w:t>
            </w:r>
          </w:p>
        </w:tc>
      </w:tr>
    </w:tbl>
    <w:p>
      <w:pPr>
        <w:spacing w:after="80" w:before="80"/>
      </w:pPr>
      <w:r>
        <w:t xml:space="preserve"/>
      </w:r>
    </w:p>
    <w:p>
      <w:pPr>
        <w:spacing w:after="60" w:before="60"/>
      </w:pPr>
      <w:r>
        <w:rPr>
          <w:rFonts w:ascii="Arial" w:cs="Arial" w:eastAsia="Arial" w:hAnsi="Arial"/>
          <w:i/>
          <w:iCs/>
          <w:sz w:val="20"/>
          <w:szCs w:val="20"/>
        </w:rPr>
        <w:t xml:space="preserve">Front-end DTI = (PITIA) / Gross Monthly Income. Back-end DTI = (PITIA + all monthly debt obligations) / Gross Monthly Income. PITIA = Principal, Interest, Taxes, Insurance, Association dues.</w:t>
      </w:r>
    </w:p>
    <w:p>
      <w:pPr>
        <w:spacing w:after="80" w:before="80"/>
      </w:pPr>
      <w:r>
        <w:t xml:space="preserve"/>
      </w:r>
    </w:p>
    <w:p>
      <w:pPr>
        <w:pStyle w:val="Heading2"/>
        <w:spacing w:after="80" w:before="240"/>
      </w:pPr>
      <w:r>
        <w:rPr>
          <w:rFonts w:ascii="Arial" w:cs="Arial" w:eastAsia="Arial" w:hAnsi="Arial"/>
          <w:b/>
          <w:bCs/>
          <w:color w:val="1F4E79"/>
          <w:sz w:val="24"/>
          <w:szCs w:val="24"/>
        </w:rPr>
        <w:t xml:space="preserve">5.2 Compensating Factors for DTI Exceptions (Conventional)</w:t>
      </w:r>
    </w:p>
    <w:p>
      <w:pPr>
        <w:spacing w:after="60" w:before="60"/>
      </w:pPr>
      <w:r>
        <w:rPr>
          <w:rFonts w:ascii="Arial" w:cs="Arial" w:eastAsia="Arial" w:hAnsi="Arial"/>
          <w:sz w:val="20"/>
          <w:szCs w:val="20"/>
        </w:rPr>
        <w:t xml:space="preserve">DTI above standard limits may be permitted with documented compensating factors, which may include:</w:t>
      </w:r>
    </w:p>
    <w:p>
      <w:pPr>
        <w:pStyle w:val="ListParagraph"/>
        <w:numPr>
          <w:ilvl w:val="0"/>
          <w:numId w:val="2"/>
        </w:numPr>
        <w:spacing w:after="40" w:before="40"/>
      </w:pPr>
      <w:r>
        <w:rPr>
          <w:rFonts w:ascii="Arial" w:cs="Arial" w:eastAsia="Arial" w:hAnsi="Arial"/>
          <w:sz w:val="20"/>
          <w:szCs w:val="20"/>
        </w:rPr>
        <w:t xml:space="preserve">Cash reserves equal to 12+ months PITIA after closing</w:t>
      </w:r>
    </w:p>
    <w:p>
      <w:pPr>
        <w:pStyle w:val="ListParagraph"/>
        <w:numPr>
          <w:ilvl w:val="0"/>
          <w:numId w:val="2"/>
        </w:numPr>
        <w:spacing w:after="40" w:before="40"/>
      </w:pPr>
      <w:r>
        <w:rPr>
          <w:rFonts w:ascii="Arial" w:cs="Arial" w:eastAsia="Arial" w:hAnsi="Arial"/>
          <w:sz w:val="20"/>
          <w:szCs w:val="20"/>
        </w:rPr>
        <w:t xml:space="preserve">Residual income exceeding VA residual income tables by 20% or more</w:t>
      </w:r>
    </w:p>
    <w:p>
      <w:pPr>
        <w:pStyle w:val="ListParagraph"/>
        <w:numPr>
          <w:ilvl w:val="0"/>
          <w:numId w:val="2"/>
        </w:numPr>
        <w:spacing w:after="40" w:before="40"/>
      </w:pPr>
      <w:r>
        <w:rPr>
          <w:rFonts w:ascii="Arial" w:cs="Arial" w:eastAsia="Arial" w:hAnsi="Arial"/>
          <w:sz w:val="20"/>
          <w:szCs w:val="20"/>
        </w:rPr>
        <w:t xml:space="preserve">Minimal payment shock (new housing payment within 5% of current housing payment)</w:t>
      </w:r>
    </w:p>
    <w:p>
      <w:pPr>
        <w:pStyle w:val="ListParagraph"/>
        <w:numPr>
          <w:ilvl w:val="0"/>
          <w:numId w:val="2"/>
        </w:numPr>
        <w:spacing w:after="40" w:before="40"/>
      </w:pPr>
      <w:r>
        <w:rPr>
          <w:rFonts w:ascii="Arial" w:cs="Arial" w:eastAsia="Arial" w:hAnsi="Arial"/>
          <w:sz w:val="20"/>
          <w:szCs w:val="20"/>
        </w:rPr>
        <w:t xml:space="preserve">Evidence of ability to accumulate savings (documented history)</w:t>
      </w:r>
    </w:p>
    <w:p>
      <w:pPr>
        <w:pStyle w:val="ListParagraph"/>
        <w:numPr>
          <w:ilvl w:val="0"/>
          <w:numId w:val="2"/>
        </w:numPr>
        <w:spacing w:after="40" w:before="40"/>
      </w:pPr>
      <w:r>
        <w:rPr>
          <w:rFonts w:ascii="Arial" w:cs="Arial" w:eastAsia="Arial" w:hAnsi="Arial"/>
          <w:sz w:val="20"/>
          <w:szCs w:val="20"/>
        </w:rPr>
        <w:t xml:space="preserve">Credit score of 720 or higher with clean 24-month payment history</w:t>
      </w:r>
    </w:p>
    <w:p>
      <w:pPr>
        <w:pStyle w:val="ListParagraph"/>
        <w:numPr>
          <w:ilvl w:val="0"/>
          <w:numId w:val="2"/>
        </w:numPr>
        <w:spacing w:after="40" w:before="40"/>
      </w:pPr>
      <w:r>
        <w:rPr>
          <w:rFonts w:ascii="Arial" w:cs="Arial" w:eastAsia="Arial" w:hAnsi="Arial"/>
          <w:sz w:val="20"/>
          <w:szCs w:val="20"/>
        </w:rPr>
        <w:t xml:space="preserve">Significant down payment (20% or more of purchase price)</w:t>
      </w:r>
    </w:p>
    <w:p>
      <w:pPr>
        <w:spacing w:after="80" w:before="80"/>
      </w:pPr>
      <w:r>
        <w:t xml:space="preserve"/>
      </w:r>
    </w:p>
    <w:p>
      <w:pPr>
        <w:spacing w:after="60" w:before="60"/>
      </w:pPr>
      <w:r>
        <w:rPr>
          <w:rFonts w:ascii="Arial" w:cs="Arial" w:eastAsia="Arial" w:hAnsi="Arial"/>
          <w:b/>
          <w:bCs/>
          <w:sz w:val="20"/>
          <w:szCs w:val="20"/>
        </w:rPr>
        <w:t xml:space="preserve">No more than 2 compensating factors may be claimed simultaneously. All claimed compensating factors must be documented in the loan file.</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6. Loan-to-Value (LTV) and Down Payment</w:t>
      </w:r>
    </w:p>
    <w:p>
      <w:pPr>
        <w:pStyle w:val="Heading2"/>
        <w:spacing w:after="80" w:before="240"/>
      </w:pPr>
      <w:r>
        <w:rPr>
          <w:rFonts w:ascii="Arial" w:cs="Arial" w:eastAsia="Arial" w:hAnsi="Arial"/>
          <w:b/>
          <w:bCs/>
          <w:color w:val="1F4E79"/>
          <w:sz w:val="24"/>
          <w:szCs w:val="24"/>
        </w:rPr>
        <w:t xml:space="preserve">6.1 Maximum LTV by Product and Occupancy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1800"/>
        <w:gridCol w:w="1920"/>
      </w:tblGrid>
      <w:tr>
        <w:trPr>
          <w:tblHeader/>
        </w:trPr>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Product</w:t>
            </w:r>
          </w:p>
        </w:tc>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Owner Occupied</w:t>
            </w:r>
          </w:p>
        </w:tc>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Second Home</w:t>
            </w:r>
          </w:p>
        </w:tc>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Investment</w:t>
            </w:r>
          </w:p>
        </w:tc>
      </w:tr>
      <w:tr>
        <w:trPr>
          <w:tblHeader w:val="false"/>
        </w:trP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Conv. Conforming (purchase)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97% (1-unit), 85% (2-unit), 80% (3-4 unit)</w:t>
            </w:r>
          </w:p>
        </w:tc>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90%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85% (1-unit), 75% (2-4 unit)</w:t>
            </w:r>
          </w:p>
        </w:tc>
      </w:tr>
      <w:tr>
        <w:trPr>
          <w:tblHeader w:val="false"/>
        </w:trP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Conv. Conforming (rate/term refi)</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97% (1-unit)</w:t>
            </w:r>
          </w:p>
        </w:tc>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90%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85%</w:t>
            </w:r>
          </w:p>
        </w:tc>
      </w:tr>
      <w:tr>
        <w:trPr>
          <w:tblHeader w:val="false"/>
        </w:trP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Conv. Conforming (cash-out refi)</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80%</w:t>
            </w:r>
          </w:p>
        </w:tc>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75%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75%</w:t>
            </w:r>
          </w:p>
        </w:tc>
      </w:tr>
      <w:tr>
        <w:trPr>
          <w:tblHeader w:val="false"/>
        </w:trP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Conventional Jumbo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80%</w:t>
            </w:r>
          </w:p>
        </w:tc>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75%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70%</w:t>
            </w:r>
          </w:p>
        </w:tc>
      </w:tr>
      <w:tr>
        <w:trPr>
          <w:tblHeader w:val="false"/>
        </w:trP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FHA (purchase)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96.5% (580+ score), 90% (500-579 score)</w:t>
            </w:r>
          </w:p>
        </w:tc>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eligible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eligible</w:t>
            </w:r>
          </w:p>
        </w:tc>
      </w:tr>
      <w:tr>
        <w:trPr>
          <w:tblHeader w:val="false"/>
        </w:trP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VA (purchase)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100% (no down payment required)</w:t>
            </w:r>
          </w:p>
        </w:tc>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eligible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eligible</w:t>
            </w:r>
          </w:p>
        </w:tc>
      </w:tr>
      <w:tr>
        <w:trPr>
          <w:tblHeader w:val="false"/>
        </w:trP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USDA</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100%</w:t>
            </w:r>
          </w:p>
        </w:tc>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eligible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eligible</w:t>
            </w:r>
          </w:p>
        </w:tc>
      </w:tr>
    </w:tbl>
    <w:p>
      <w:pPr>
        <w:spacing w:after="80" w:before="80"/>
      </w:pPr>
      <w:r>
        <w:t xml:space="preserve"/>
      </w:r>
    </w:p>
    <w:p>
      <w:pPr>
        <w:pStyle w:val="Heading2"/>
        <w:spacing w:after="80" w:before="240"/>
      </w:pPr>
      <w:r>
        <w:rPr>
          <w:rFonts w:ascii="Arial" w:cs="Arial" w:eastAsia="Arial" w:hAnsi="Arial"/>
          <w:b/>
          <w:bCs/>
          <w:color w:val="1F4E79"/>
          <w:sz w:val="24"/>
          <w:szCs w:val="24"/>
        </w:rPr>
        <w:t xml:space="preserve">6.2 Private Mortgage Insurance (PMI)</w:t>
      </w:r>
    </w:p>
    <w:p>
      <w:pPr>
        <w:spacing w:after="60" w:before="60"/>
      </w:pPr>
      <w:r>
        <w:rPr>
          <w:rFonts w:ascii="Arial" w:cs="Arial" w:eastAsia="Arial" w:hAnsi="Arial"/>
          <w:sz w:val="20"/>
          <w:szCs w:val="20"/>
        </w:rPr>
        <w:t xml:space="preserve">PMI is required on all conventional loans with LTV exceeding 80%. PMI may be lender-paid (LPMI) in exchange for a higher interest rate, or borrower-paid (BPMI) monthly or as a single upfront premium. BPMI automatically terminates at 78% LTV based on original amortization schedule per the Homeowners Protection Act of 1998.</w:t>
      </w:r>
    </w:p>
    <w:p>
      <w:pPr>
        <w:spacing w:after="80" w:before="80"/>
      </w:pPr>
      <w:r>
        <w:t xml:space="preserve"/>
      </w:r>
    </w:p>
    <w:p>
      <w:pPr>
        <w:pStyle w:val="Heading2"/>
        <w:spacing w:after="80" w:before="240"/>
      </w:pPr>
      <w:r>
        <w:rPr>
          <w:rFonts w:ascii="Arial" w:cs="Arial" w:eastAsia="Arial" w:hAnsi="Arial"/>
          <w:b/>
          <w:bCs/>
          <w:color w:val="1F4E79"/>
          <w:sz w:val="24"/>
          <w:szCs w:val="24"/>
        </w:rPr>
        <w:t xml:space="preserve">6.3 Down Payment Sources</w:t>
      </w:r>
    </w:p>
    <w:p>
      <w:pPr>
        <w:spacing w:after="60" w:before="60"/>
      </w:pPr>
      <w:r>
        <w:rPr>
          <w:rFonts w:ascii="Arial" w:cs="Arial" w:eastAsia="Arial" w:hAnsi="Arial"/>
          <w:sz w:val="20"/>
          <w:szCs w:val="20"/>
        </w:rPr>
        <w:t xml:space="preserve">Acceptable: personal savings, gift funds (family member, documented), employer assistance programs, government down payment assistance programs, proceeds from sale of existing property.</w:t>
      </w:r>
    </w:p>
    <w:p>
      <w:pPr>
        <w:spacing w:after="60" w:before="60"/>
      </w:pPr>
      <w:r>
        <w:rPr>
          <w:rFonts w:ascii="Arial" w:cs="Arial" w:eastAsia="Arial" w:hAnsi="Arial"/>
          <w:color w:val="CC0000"/>
          <w:sz w:val="20"/>
          <w:szCs w:val="20"/>
        </w:rPr>
        <w:t xml:space="preserve">Unacceptable: unsecured borrowed funds, cash-on-hand without documentation, gifts from interested parties (seller, broker, builder) above allowable limits.</w:t>
      </w:r>
    </w:p>
    <w:p>
      <w:pPr>
        <w:spacing w:after="80" w:before="80"/>
      </w:pPr>
      <w:r>
        <w:t xml:space="preserve"/>
      </w:r>
    </w:p>
    <w:p>
      <w:pPr>
        <w:pStyle w:val="Heading2"/>
        <w:spacing w:after="80" w:before="240"/>
      </w:pPr>
      <w:r>
        <w:rPr>
          <w:rFonts w:ascii="Arial" w:cs="Arial" w:eastAsia="Arial" w:hAnsi="Arial"/>
          <w:b/>
          <w:bCs/>
          <w:color w:val="1F4E79"/>
          <w:sz w:val="24"/>
          <w:szCs w:val="24"/>
        </w:rPr>
        <w:t xml:space="preserve">6.4 Reserve Requirements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760"/>
        <w:gridCol w:w="3000"/>
      </w:tblGrid>
      <w:tr>
        <w:trPr>
          <w:tblHeader/>
        </w:trPr>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Product</w:t>
            </w:r>
          </w:p>
        </w:tc>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Minimum Reserves</w:t>
            </w:r>
          </w:p>
        </w:tc>
      </w:tr>
      <w:tr>
        <w:trPr>
          <w:tblHeader w:val="false"/>
        </w:trP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Conventional Conforming (1-unit, primary)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 months PITIA</w:t>
            </w:r>
          </w:p>
        </w:tc>
      </w:tr>
      <w:tr>
        <w:trPr>
          <w:tblHeader w:val="false"/>
        </w:trP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Conventional Conforming (2-unit)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 months PITIA</w:t>
            </w:r>
          </w:p>
        </w:tc>
      </w:tr>
      <w:tr>
        <w:trPr>
          <w:tblHeader w:val="false"/>
        </w:trP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Conventional Conforming (3-4 unit)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 months PITIA</w:t>
            </w:r>
          </w:p>
        </w:tc>
      </w:tr>
      <w:tr>
        <w:trPr>
          <w:tblHeader w:val="false"/>
        </w:trP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Conventional Second Home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 months PITIA</w:t>
            </w:r>
          </w:p>
        </w:tc>
      </w:tr>
      <w:tr>
        <w:trPr>
          <w:tblHeader w:val="false"/>
        </w:trP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Conventional Investment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6 months PITIA</w:t>
            </w:r>
          </w:p>
        </w:tc>
      </w:tr>
      <w:tr>
        <w:trPr>
          <w:tblHeader w:val="false"/>
        </w:trP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Conventional Jumbo (loan up to $1.5M)</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12 months PITIA</w:t>
            </w:r>
          </w:p>
        </w:tc>
      </w:tr>
      <w:tr>
        <w:trPr>
          <w:tblHeader w:val="false"/>
        </w:trP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Conventional Jumbo (loan above $1.5M)</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18 months PITIA</w:t>
            </w:r>
          </w:p>
        </w:tc>
      </w:tr>
      <w:tr>
        <w:trPr>
          <w:tblHeader w:val="false"/>
        </w:trP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FHA</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required (compensating factor if present)</w:t>
            </w:r>
          </w:p>
        </w:tc>
      </w:tr>
      <w:tr>
        <w:trPr>
          <w:tblHeader w:val="false"/>
        </w:trP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VA</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required (compensating factor if present)</w:t>
            </w:r>
          </w:p>
        </w:tc>
      </w:tr>
    </w:tbl>
    <w:p>
      <w:pPr>
        <w:spacing w:after="80" w:before="80"/>
      </w:pPr>
      <w:r>
        <w:t xml:space="preserve"/>
      </w:r>
    </w:p>
    <w:p>
      <w:pPr>
        <w:spacing w:after="60" w:before="60"/>
      </w:pPr>
      <w:r>
        <w:rPr>
          <w:rFonts w:ascii="Arial" w:cs="Arial" w:eastAsia="Arial" w:hAnsi="Arial"/>
          <w:i/>
          <w:iCs/>
          <w:sz w:val="20"/>
          <w:szCs w:val="20"/>
        </w:rPr>
        <w:t xml:space="preserve">Retirement accounts: 60% of vested balance may be counted. Gift funds may not be used toward reserve requirements.</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7. Exception Process</w:t>
      </w:r>
    </w:p>
    <w:p>
      <w:pPr>
        <w:pStyle w:val="Heading2"/>
        <w:spacing w:after="80" w:before="240"/>
      </w:pPr>
      <w:r>
        <w:rPr>
          <w:rFonts w:ascii="Arial" w:cs="Arial" w:eastAsia="Arial" w:hAnsi="Arial"/>
          <w:b/>
          <w:bCs/>
          <w:color w:val="1F4E79"/>
          <w:sz w:val="24"/>
          <w:szCs w:val="24"/>
        </w:rPr>
        <w:t xml:space="preserve">7.1 Exception Eligibility</w:t>
      </w:r>
    </w:p>
    <w:p>
      <w:pPr>
        <w:spacing w:after="60" w:before="60"/>
      </w:pPr>
      <w:r>
        <w:rPr>
          <w:rFonts w:ascii="Arial" w:cs="Arial" w:eastAsia="Arial" w:hAnsi="Arial"/>
          <w:b/>
          <w:bCs/>
          <w:sz w:val="20"/>
          <w:szCs w:val="20"/>
        </w:rPr>
        <w:t xml:space="preserve">Exceptions to these guidelines may be requested for loans that do not meet one or more standard criteria. Exceptions are NOT available for the following hard stops:</w:t>
      </w:r>
    </w:p>
    <w:p>
      <w:pPr>
        <w:pStyle w:val="ListParagraph"/>
        <w:numPr>
          <w:ilvl w:val="0"/>
          <w:numId w:val="2"/>
        </w:numPr>
        <w:spacing w:after="40" w:before="40"/>
      </w:pPr>
      <w:r>
        <w:rPr>
          <w:rFonts w:ascii="Arial" w:cs="Arial" w:eastAsia="Arial" w:hAnsi="Arial"/>
          <w:sz w:val="20"/>
          <w:szCs w:val="20"/>
        </w:rPr>
        <w:t xml:space="preserve">Loan amount exceeding Bank's internal jumbo limit of $3,000,000</w:t>
      </w:r>
    </w:p>
    <w:p>
      <w:pPr>
        <w:pStyle w:val="ListParagraph"/>
        <w:numPr>
          <w:ilvl w:val="0"/>
          <w:numId w:val="2"/>
        </w:numPr>
        <w:spacing w:after="40" w:before="40"/>
      </w:pPr>
      <w:r>
        <w:rPr>
          <w:rFonts w:ascii="Arial" w:cs="Arial" w:eastAsia="Arial" w:hAnsi="Arial"/>
          <w:sz w:val="20"/>
          <w:szCs w:val="20"/>
        </w:rPr>
        <w:t xml:space="preserve">Credit score below 500 for any product</w:t>
      </w:r>
    </w:p>
    <w:p>
      <w:pPr>
        <w:pStyle w:val="ListParagraph"/>
        <w:numPr>
          <w:ilvl w:val="0"/>
          <w:numId w:val="2"/>
        </w:numPr>
        <w:spacing w:after="40" w:before="40"/>
      </w:pPr>
      <w:r>
        <w:rPr>
          <w:rFonts w:ascii="Arial" w:cs="Arial" w:eastAsia="Arial" w:hAnsi="Arial"/>
          <w:sz w:val="20"/>
          <w:szCs w:val="20"/>
        </w:rPr>
        <w:t xml:space="preserve">LTV exceeding product maximum by more than 5%</w:t>
      </w:r>
    </w:p>
    <w:p>
      <w:pPr>
        <w:pStyle w:val="ListParagraph"/>
        <w:numPr>
          <w:ilvl w:val="0"/>
          <w:numId w:val="2"/>
        </w:numPr>
        <w:spacing w:after="40" w:before="40"/>
      </w:pPr>
      <w:r>
        <w:rPr>
          <w:rFonts w:ascii="Arial" w:cs="Arial" w:eastAsia="Arial" w:hAnsi="Arial"/>
          <w:sz w:val="20"/>
          <w:szCs w:val="20"/>
        </w:rPr>
        <w:t xml:space="preserve">Active derogatory credit (open judgments, unresolved federal tax liens)</w:t>
      </w:r>
    </w:p>
    <w:p>
      <w:pPr>
        <w:pStyle w:val="ListParagraph"/>
        <w:numPr>
          <w:ilvl w:val="0"/>
          <w:numId w:val="2"/>
        </w:numPr>
        <w:spacing w:after="40" w:before="40"/>
      </w:pPr>
      <w:r>
        <w:rPr>
          <w:rFonts w:ascii="Arial" w:cs="Arial" w:eastAsia="Arial" w:hAnsi="Arial"/>
          <w:sz w:val="20"/>
          <w:szCs w:val="20"/>
        </w:rPr>
        <w:t xml:space="preserve">Property condemned or uninhabitable at time of appraisal</w:t>
      </w:r>
    </w:p>
    <w:p>
      <w:pPr>
        <w:pStyle w:val="ListParagraph"/>
        <w:numPr>
          <w:ilvl w:val="0"/>
          <w:numId w:val="2"/>
        </w:numPr>
        <w:spacing w:after="40" w:before="40"/>
      </w:pPr>
      <w:r>
        <w:rPr>
          <w:rFonts w:ascii="Arial" w:cs="Arial" w:eastAsia="Arial" w:hAnsi="Arial"/>
          <w:sz w:val="20"/>
          <w:szCs w:val="20"/>
        </w:rPr>
        <w:t xml:space="preserve">Evidence of fraud or material misrepresentation in the loan file</w:t>
      </w:r>
    </w:p>
    <w:p>
      <w:pPr>
        <w:spacing w:after="80" w:before="80"/>
      </w:pPr>
      <w:r>
        <w:t xml:space="preserve"/>
      </w:r>
    </w:p>
    <w:p>
      <w:pPr>
        <w:pStyle w:val="Heading2"/>
        <w:spacing w:after="80" w:before="240"/>
      </w:pPr>
      <w:r>
        <w:rPr>
          <w:rFonts w:ascii="Arial" w:cs="Arial" w:eastAsia="Arial" w:hAnsi="Arial"/>
          <w:b/>
          <w:bCs/>
          <w:color w:val="1F4E79"/>
          <w:sz w:val="24"/>
          <w:szCs w:val="24"/>
        </w:rPr>
        <w:t xml:space="preserve">7.2 Exception Approval Authority</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5400"/>
        <w:gridCol w:w="3360"/>
      </w:tblGrid>
      <w:tr>
        <w:trPr>
          <w:tblHeader/>
        </w:trPr>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Exception Type</w:t>
            </w:r>
          </w:p>
        </w:tc>
        <w:tc>
          <w:tcPr>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Approval Required</w:t>
            </w:r>
          </w:p>
        </w:tc>
      </w:tr>
      <w:tr>
        <w:trPr>
          <w:tblHeader w:val="false"/>
        </w:trP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DTI up to 5% above guideline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Senior Underwriter</w:t>
            </w:r>
          </w:p>
        </w:tc>
      </w:tr>
      <w:tr>
        <w:trPr>
          <w:tblHeader w:val="false"/>
        </w:trP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DTI 5-10% above guideline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Underwriting Manager</w:t>
            </w:r>
          </w:p>
        </w:tc>
      </w:tr>
      <w:tr>
        <w:trPr>
          <w:tblHeader w:val="false"/>
        </w:trP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DTI more than 10% above guideline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Chief Credit Officer</w:t>
            </w:r>
          </w:p>
        </w:tc>
      </w:tr>
      <w:tr>
        <w:trPr>
          <w:tblHeader w:val="false"/>
        </w:trP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Credit score 1-19 points below minimum</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Senior Underwriter</w:t>
            </w:r>
          </w:p>
        </w:tc>
      </w:tr>
      <w:tr>
        <w:trPr>
          <w:tblHeader w:val="false"/>
        </w:trP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Credit score 20-39 points below minimum</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Underwriting Manager</w:t>
            </w:r>
          </w:p>
        </w:tc>
      </w:tr>
      <w:tr>
        <w:trPr>
          <w:tblHeader w:val="false"/>
        </w:trP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Jumbo exceptions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Chief Credit Officer</w:t>
            </w:r>
          </w:p>
        </w:tc>
      </w:tr>
      <w:tr>
        <w:trPr>
          <w:tblHeader w:val="false"/>
        </w:trPr>
        <w:tc>
          <w:tcPr>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b w:val="false"/>
                <w:bCs w:val="false"/>
                <w:color w:val="000000"/>
                <w:sz w:val="18"/>
                <w:szCs w:val="18"/>
              </w:rPr>
              <w:t xml:space="preserve">Multiple simultaneous exceptions (2 or more)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Underwriting Manager + Chief Credit Officer</w:t>
            </w:r>
          </w:p>
        </w:tc>
      </w:tr>
    </w:tbl>
    <w:p>
      <w:pPr>
        <w:spacing w:after="80" w:before="80"/>
      </w:pPr>
      <w:r>
        <w:t xml:space="preserve"/>
      </w:r>
    </w:p>
    <w:p>
      <w:pPr>
        <w:pStyle w:val="Heading2"/>
        <w:spacing w:after="80" w:before="240"/>
      </w:pPr>
      <w:r>
        <w:rPr>
          <w:rFonts w:ascii="Arial" w:cs="Arial" w:eastAsia="Arial" w:hAnsi="Arial"/>
          <w:b/>
          <w:bCs/>
          <w:color w:val="1F4E79"/>
          <w:sz w:val="24"/>
          <w:szCs w:val="24"/>
        </w:rPr>
        <w:t xml:space="preserve">7.3 Exception Documentation</w:t>
      </w:r>
    </w:p>
    <w:p>
      <w:pPr>
        <w:spacing w:after="60" w:before="60"/>
      </w:pPr>
      <w:r>
        <w:rPr>
          <w:rFonts w:ascii="Arial" w:cs="Arial" w:eastAsia="Arial" w:hAnsi="Arial"/>
          <w:sz w:val="20"/>
          <w:szCs w:val="20"/>
        </w:rPr>
        <w:t xml:space="preserve">All exceptions must be documented in writing in the loan file, including: nature of exception, compensating factors supporting the exception, approval authority signature and date, and notation in the Loan Origination System (LOS).</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8. Appraisal Requirements</w:t>
      </w:r>
    </w:p>
    <w:p>
      <w:pPr>
        <w:pStyle w:val="ListParagraph"/>
        <w:numPr>
          <w:ilvl w:val="0"/>
          <w:numId w:val="2"/>
        </w:numPr>
        <w:spacing w:after="40" w:before="40"/>
      </w:pPr>
      <w:r>
        <w:rPr>
          <w:rFonts w:ascii="Arial" w:cs="Arial" w:eastAsia="Arial" w:hAnsi="Arial"/>
          <w:sz w:val="20"/>
          <w:szCs w:val="20"/>
        </w:rPr>
        <w:t xml:space="preserve">All loans require a full USPAP-compliant appraisal by a licensed or certified appraiser on the Bank's approved appraiser list.</w:t>
      </w:r>
    </w:p>
    <w:p>
      <w:pPr>
        <w:pStyle w:val="ListParagraph"/>
        <w:numPr>
          <w:ilvl w:val="0"/>
          <w:numId w:val="2"/>
        </w:numPr>
        <w:spacing w:after="40" w:before="40"/>
      </w:pPr>
      <w:r>
        <w:rPr>
          <w:rFonts w:ascii="Arial" w:cs="Arial" w:eastAsia="Arial" w:hAnsi="Arial"/>
          <w:sz w:val="20"/>
          <w:szCs w:val="20"/>
        </w:rPr>
        <w:t xml:space="preserve">Appraisals must be ordered through the Bank's approved Appraisal Management Company (AMC). Loan officers may not order appraisals directly.</w:t>
      </w:r>
    </w:p>
    <w:p>
      <w:pPr>
        <w:pStyle w:val="ListParagraph"/>
        <w:numPr>
          <w:ilvl w:val="0"/>
          <w:numId w:val="2"/>
        </w:numPr>
        <w:spacing w:after="40" w:before="40"/>
      </w:pPr>
      <w:r>
        <w:rPr>
          <w:rFonts w:ascii="Arial" w:cs="Arial" w:eastAsia="Arial" w:hAnsi="Arial"/>
          <w:sz w:val="20"/>
          <w:szCs w:val="20"/>
        </w:rPr>
        <w:t xml:space="preserve">Appraisal must be dated within 120 days of closing (180 days for new construction).</w:t>
      </w:r>
    </w:p>
    <w:p>
      <w:pPr>
        <w:pStyle w:val="ListParagraph"/>
        <w:numPr>
          <w:ilvl w:val="0"/>
          <w:numId w:val="2"/>
        </w:numPr>
        <w:spacing w:after="40" w:before="40"/>
      </w:pPr>
      <w:r>
        <w:rPr>
          <w:rFonts w:ascii="Arial" w:cs="Arial" w:eastAsia="Arial" w:hAnsi="Arial"/>
          <w:sz w:val="20"/>
          <w:szCs w:val="20"/>
        </w:rPr>
        <w:t xml:space="preserve">Desk reviews or field reviews required for all appraisals showing value decline greater than 10% from prior sale or county assessment.</w:t>
      </w:r>
    </w:p>
    <w:p>
      <w:pPr>
        <w:pStyle w:val="ListParagraph"/>
        <w:numPr>
          <w:ilvl w:val="0"/>
          <w:numId w:val="2"/>
        </w:numPr>
        <w:spacing w:after="40" w:before="40"/>
      </w:pPr>
      <w:r>
        <w:rPr>
          <w:rFonts w:ascii="Arial" w:cs="Arial" w:eastAsia="Arial" w:hAnsi="Arial"/>
          <w:sz w:val="20"/>
          <w:szCs w:val="20"/>
        </w:rPr>
        <w:t xml:space="preserve">Property must meet all applicable state habitability standards and be insurable at time of closing.</w:t>
      </w:r>
    </w:p>
    <w:p>
      <w:pPr>
        <w:spacing w:after="80" w:before="80"/>
      </w:pPr>
      <w:r>
        <w:t xml:space="preserve"/>
      </w:r>
    </w:p>
    <w:p>
      <w:pPr>
        <w:pStyle w:val="Heading1"/>
        <w:pBdr>
          <w:bottom w:val="single" w:color="2E75B6" w:sz="6" w:space="4"/>
        </w:pBdr>
        <w:spacing w:after="160" w:before="320"/>
      </w:pPr>
      <w:r>
        <w:rPr>
          <w:rFonts w:ascii="Arial" w:cs="Arial" w:eastAsia="Arial" w:hAnsi="Arial"/>
          <w:b/>
          <w:bCs/>
          <w:color w:val="1F4E79"/>
          <w:sz w:val="28"/>
          <w:szCs w:val="28"/>
        </w:rPr>
        <w:t xml:space="preserve">9. Document Retention</w:t>
      </w:r>
    </w:p>
    <w:p>
      <w:pPr>
        <w:spacing w:after="60" w:before="60"/>
      </w:pPr>
      <w:r>
        <w:rPr>
          <w:rFonts w:ascii="Arial" w:cs="Arial" w:eastAsia="Arial" w:hAnsi="Arial"/>
          <w:sz w:val="20"/>
          <w:szCs w:val="20"/>
        </w:rPr>
        <w:t xml:space="preserve">All loan files, including underwriting decision documentation, exception approvals, and compensating factor documentation, must be retained for a minimum of 7 years from the date of loan closing or loan denial, per applicable RESPA and TILA record retention requirements.</w:t>
      </w:r>
    </w:p>
    <w:p>
      <w:pPr>
        <w:spacing w:after="80" w:before="80"/>
      </w:pPr>
      <w:r>
        <w:t xml:space="preserve"/>
      </w:r>
    </w:p>
    <w:p>
      <w:pPr>
        <w:pBdr>
          <w:top w:val="single" w:color="2E75B6" w:sz="4" w:space="4"/>
        </w:pBdr>
        <w:spacing w:before="480"/>
        <w:jc w:val="center"/>
      </w:pPr>
      <w:r>
        <w:rPr>
          <w:rFonts w:ascii="Arial" w:cs="Arial" w:eastAsia="Arial" w:hAnsi="Arial"/>
          <w:i/>
          <w:iCs/>
          <w:color w:val="666666"/>
          <w:sz w:val="16"/>
          <w:szCs w:val="16"/>
        </w:rPr>
        <w:t xml:space="preserve">Meridian Bank of Springfield, N.A.  |  Residential Lending Division  |  UW-2025-001</w:t>
      </w:r>
    </w:p>
    <w:p>
      <w:pPr>
        <w:jc w:val="center"/>
      </w:pPr>
      <w:r>
        <w:rPr>
          <w:rFonts w:ascii="Arial" w:cs="Arial" w:eastAsia="Arial" w:hAnsi="Arial"/>
          <w:i/>
          <w:iCs/>
          <w:color w:val="666666"/>
          <w:sz w:val="16"/>
          <w:szCs w:val="16"/>
        </w:rPr>
        <w:t xml:space="preserve">This document is reviewed and updated annually. For questions contact underwriting@meridianbank-fictional.com</w:t>
      </w:r>
    </w:p>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360"/>
      </w:tabs>
    </w:pPr>
    <w:r>
      <w:rPr>
        <w:rFonts w:ascii="Arial" w:cs="Arial" w:eastAsia="Arial" w:hAnsi="Arial"/>
        <w:color w:val="666666"/>
        <w:sz w:val="16"/>
        <w:szCs w:val="16"/>
      </w:rPr>
      <w:t xml:space="preserve">UW-2025-001 | Version 3.2 | Effective January 1, 2025</w:t>
    </w:r>
    <w:r>
      <w:rPr>
        <w:rFonts w:ascii="Arial" w:cs="Arial" w:eastAsia="Arial" w:hAnsi="Arial"/>
        <w:color w:val="666666"/>
        <w:sz w:val="16"/>
        <w:szCs w:val="16"/>
      </w:rPr>
      <w:t xml:space="preserve">	Page </w:t>
    </w:r>
    <w:r>
      <w:rPr>
        <w:rFonts w:ascii="Arial" w:cs="Arial" w:eastAsia="Arial" w:hAnsi="Arial"/>
        <w:color w:val="666666"/>
        <w:sz w:val="16"/>
        <w:szCs w:val="16"/>
      </w:rPr>
      <type>pageNumber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00"/>
    </w:pPr>
    <w:r>
      <w:rPr>
        <w:rFonts w:ascii="Arial" w:cs="Arial" w:eastAsia="Arial" w:hAnsi="Arial"/>
        <w:b/>
        <w:bCs/>
        <w:color w:val="1F4E79"/>
        <w:sz w:val="18"/>
        <w:szCs w:val="18"/>
      </w:rPr>
      <w:t xml:space="preserve">MERIDIAN BANK OF SPRINGFIELD, N.A.</w:t>
    </w:r>
    <w:r>
      <w:rPr>
        <w:rFonts w:ascii="Arial" w:cs="Arial" w:eastAsia="Arial" w:hAnsi="Arial"/>
        <w:color w:val="666666"/>
        <w:sz w:val="16"/>
        <w:szCs w:val="16"/>
      </w:rPr>
      <w:t xml:space="preserve">   |   Residential Mortgage Underwriting Guidelines   |   INTERNAL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2026-05-04T14:59:40.319Z</dcterms:created>
  <dcterms:modified xsi:type="dcterms:W3CDTF">2026-05-04T14:59:40.319Z</dcterms:modified>
</cp:coreProperties>
</file>

<file path=docProps/custom.xml><?xml version="1.0" encoding="utf-8"?>
<Properties xmlns="http://schemas.openxmlformats.org/officeDocument/2006/custom-properties" xmlns:vt="http://schemas.openxmlformats.org/officeDocument/2006/docPropsVTypes"/>
</file>