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azjkm4eozxk" w:id="0"/>
      <w:bookmarkEnd w:id="0"/>
      <w:r w:rsidDel="00000000" w:rsidR="00000000" w:rsidRPr="00000000">
        <w:rPr>
          <w:rtl w:val="0"/>
        </w:rPr>
        <w:t xml:space="preserve">Estructura/organización del código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yj7w5m2b96i" w:id="1"/>
      <w:bookmarkEnd w:id="1"/>
      <w:r w:rsidDel="00000000" w:rsidR="00000000" w:rsidRPr="00000000">
        <w:rPr>
          <w:rtl w:val="0"/>
        </w:rPr>
        <w:t xml:space="preserve">Tema 5. Apuntes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e8hnwcl7l0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funciones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azzeq9sfg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Diseño modular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fzurorsm2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Parámetros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tu495gfjq7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Concepto de scope (ámbito)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kc7c4ua6kg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Variables locales y globales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zrxlxc6m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 packaging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6gd0dde8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Argumentos de clave y de posicionamiento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5xwcnl8az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interna (importante)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ntvi8rbfw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 uso de los comentarios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uavkyfo0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 uso de los comentarios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c4d9j6f8v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Docstring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m5wnxoc89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73tchnf2l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Paquetes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qbz5natd2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Estilo del código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e8hnwcl7l0k" w:id="2"/>
      <w:bookmarkEnd w:id="2"/>
      <w:r w:rsidDel="00000000" w:rsidR="00000000" w:rsidRPr="00000000">
        <w:rPr>
          <w:rtl w:val="0"/>
        </w:rPr>
        <w:t xml:space="preserve">Definición de funciones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y función?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 pequeño trozo de código que lleva a cabo algo concreto. Se puede invocar/reutilizar/llamar desde cualquier lugar. Sirve para reducir nuestras líneas de código y estructurar el código.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 programador puede crear sus propias funciones y reutilizarlas.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Sintaxis: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2300" cy="499337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319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9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Identificador: nombre que sigue las mismas reglas de nombramiento que una variable.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Argumentos: como los inputs, son los datos que necesita la función para hacer los cálculos. Se pueden poner todos los que quieras. Recomendable no más de 5/6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Statements: contenido de la función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Importante: tamaño de las funciones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ay que procurar que sean cortas, si son demasiado largas mata si objetivo. Por ejemplo no más de 30 líneas.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 importante que los nombres de las funciones y de los parámetros sean descriptivos y claros. 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0600" cy="1829687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00" cy="182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Ejecución: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39351" cy="1665686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351" cy="1665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24250" cy="685800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Procedimientos</w:t>
      </w:r>
      <w:r w:rsidDel="00000000" w:rsidR="00000000" w:rsidRPr="00000000">
        <w:rPr>
          <w:rtl w:val="0"/>
        </w:rPr>
        <w:t xml:space="preserve">: funciones que no devuelven ningún valor. El ejemplo anterior es un procedimiento, ya que no usa return (aunque haga un print)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Para devolver un valor se usa la palabra reservada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 Se puede devolver cualquier valor.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aeazzeq9sfgf" w:id="3"/>
      <w:bookmarkEnd w:id="3"/>
      <w:r w:rsidDel="00000000" w:rsidR="00000000" w:rsidRPr="00000000">
        <w:rPr>
          <w:rtl w:val="0"/>
        </w:rPr>
        <w:t xml:space="preserve">Diseño modular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Partir un programa/código en módulos o partes para que sea más manejable (más fácil de depurar, mantener o corregir).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Los módulos pueden ser funciones, librerías, clases/objetos…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1375" cy="22955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4jfzurorsm2m" w:id="4"/>
      <w:bookmarkEnd w:id="4"/>
      <w:r w:rsidDel="00000000" w:rsidR="00000000" w:rsidRPr="00000000">
        <w:rPr>
          <w:rtl w:val="0"/>
        </w:rPr>
        <w:t xml:space="preserve">Parámetros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Siempre van a tener un identificador que puede llegar a coincidir con otras variables o funciones (no es para nada recomendable).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 va a comportar siempre como una variable pero NO lo es. Se le puede asignar valor, meterlo en una expresión, pasarselo a otra función…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Hay que procurar no meter demasiados parámetros en una función (no más de 4/5 en general).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¿Se puede modificar el contenido/valor?¿Qué pasa cuando termina la función si se modifica el contenido?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 el siguiente ejemplo se puede ver que depende. Se siguen ciertos criterios a la hora de modificar los valores.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Los valores más complejos (arrays/listas) sí se cambian. (Investigar un poco cuales si y cuales no)</w:t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9200" cy="13335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3152" cy="67896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152" cy="678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ytu495gfjq7l" w:id="5"/>
      <w:bookmarkEnd w:id="5"/>
      <w:r w:rsidDel="00000000" w:rsidR="00000000" w:rsidRPr="00000000">
        <w:rPr>
          <w:rtl w:val="0"/>
        </w:rPr>
        <w:t xml:space="preserve">Concepto de scope (ámbito)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Conjunto de instrucciones consecutivas que conservan el mismo nivel de tabulación, llamados </w:t>
      </w:r>
      <w:r w:rsidDel="00000000" w:rsidR="00000000" w:rsidRPr="00000000">
        <w:rPr>
          <w:b w:val="1"/>
          <w:rtl w:val="0"/>
        </w:rPr>
        <w:t xml:space="preserve">bloques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Este ejemplo tiene 2 bloques: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90876" cy="1197662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876" cy="11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ámbito </w:t>
      </w:r>
      <w:r w:rsidDel="00000000" w:rsidR="00000000" w:rsidRPr="00000000">
        <w:rPr>
          <w:rtl w:val="0"/>
        </w:rPr>
        <w:t xml:space="preserve">de una variables es el bloque, función o módulo en el que es posible usarla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bloque interno</w:t>
      </w:r>
      <w:r w:rsidDel="00000000" w:rsidR="00000000" w:rsidRPr="00000000">
        <w:rPr>
          <w:rtl w:val="0"/>
        </w:rPr>
        <w:t xml:space="preserve"> es un bloque que se encuentra dentro de otro, con una tabulación. Para estos es posible acceder a las variables del bloque que lo contiene pero no al contrario.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Por eso las variables declaradas dentro de una función no se pueden usar fuera de esta.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8kc7c4ua6kg4" w:id="6"/>
      <w:bookmarkEnd w:id="6"/>
      <w:r w:rsidDel="00000000" w:rsidR="00000000" w:rsidRPr="00000000">
        <w:rPr>
          <w:rtl w:val="0"/>
        </w:rPr>
        <w:t xml:space="preserve">Variables locales y globales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variable local</w:t>
      </w:r>
      <w:r w:rsidDel="00000000" w:rsidR="00000000" w:rsidRPr="00000000">
        <w:rPr>
          <w:rtl w:val="0"/>
        </w:rPr>
        <w:t xml:space="preserve"> es declarada y usada dentro de un bloque, por lo que no es accesible desde cualquier parte.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variable global</w:t>
      </w:r>
      <w:r w:rsidDel="00000000" w:rsidR="00000000" w:rsidRPr="00000000">
        <w:rPr>
          <w:rtl w:val="0"/>
        </w:rPr>
        <w:t xml:space="preserve"> es accesible desde cualquier parte del programa. Lo mejor es evitarlas, solo usarlas en casos muy concretos. Su valor puede cambiarse en cualquier parte y eso puede llevar a muchos problemas. Es importante no modificar su contenido.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clzrxlxc6mzn" w:id="7"/>
      <w:bookmarkEnd w:id="7"/>
      <w:r w:rsidDel="00000000" w:rsidR="00000000" w:rsidRPr="00000000">
        <w:rPr>
          <w:rtl w:val="0"/>
        </w:rPr>
        <w:t xml:space="preserve">Argument packaging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Habrá ocasiones que hagamos funciones que </w:t>
      </w:r>
      <w:r w:rsidDel="00000000" w:rsidR="00000000" w:rsidRPr="00000000">
        <w:rPr>
          <w:rtl w:val="0"/>
        </w:rPr>
        <w:t xml:space="preserve">admitan</w:t>
      </w:r>
      <w:r w:rsidDel="00000000" w:rsidR="00000000" w:rsidRPr="00000000">
        <w:rPr>
          <w:rtl w:val="0"/>
        </w:rPr>
        <w:t xml:space="preserve"> cualquier número de parámetros. Esto se consigue con el empaquetamiento de argumentos.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Empaquetamiento de argumentos sencillo →</w:t>
      </w:r>
      <w:r w:rsidDel="00000000" w:rsidR="00000000" w:rsidRPr="00000000">
        <w:rPr>
          <w:rtl w:val="0"/>
        </w:rPr>
        <w:t xml:space="preserve"> La función f1() lo que hace es aceptar un número de argumentos no definido, se puede usar con tantos como quiera el usuario. Importante: se usa un 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Empaquetamiento de argumentos complejo(? →</w:t>
      </w:r>
      <w:r w:rsidDel="00000000" w:rsidR="00000000" w:rsidRPr="00000000">
        <w:rPr>
          <w:rtl w:val="0"/>
        </w:rPr>
        <w:t xml:space="preserve"> En la función f2() también se aceptan el número de argumentos no definido, aquí es importante el nombre de los parámetros.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3440" cy="1564588"/>
            <wp:effectExtent b="0" l="0" r="0" t="0"/>
            <wp:docPr id="2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440" cy="156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eq6gd0dde830" w:id="8"/>
      <w:bookmarkEnd w:id="8"/>
      <w:r w:rsidDel="00000000" w:rsidR="00000000" w:rsidRPr="00000000">
        <w:rPr>
          <w:rtl w:val="0"/>
        </w:rPr>
        <w:t xml:space="preserve">Argumentos de clave y de posicionamiento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Argumentos posicionales → </w:t>
      </w:r>
      <w:r w:rsidDel="00000000" w:rsidR="00000000" w:rsidRPr="00000000">
        <w:rPr>
          <w:rtl w:val="0"/>
        </w:rPr>
        <w:t xml:space="preserve">Son los que necesitan identificador.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Argumentos de clave → </w:t>
      </w:r>
      <w:r w:rsidDel="00000000" w:rsidR="00000000" w:rsidRPr="00000000">
        <w:rPr>
          <w:rtl w:val="0"/>
        </w:rPr>
        <w:t xml:space="preserve">Parámetros declarados con un valor por defecto.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2780695" cy="466038"/>
            <wp:effectExtent b="0" l="0" r="0" t="0"/>
            <wp:docPr id="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695" cy="46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 ese ejemplo si se introduce fn(1,2,3) el resultado será 5 porque se le asigna a c el valor 3, pero si se ejecuta fn(1,2) el valor de c será 1 ya que es el valor que tendrá por defecto si no se introduce un valor nuevo.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00965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8763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4860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Ejercicio de clase: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31337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838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k95xwcnl8azv" w:id="9"/>
      <w:bookmarkEnd w:id="9"/>
      <w:r w:rsidDel="00000000" w:rsidR="00000000" w:rsidRPr="00000000">
        <w:rPr>
          <w:rtl w:val="0"/>
        </w:rPr>
        <w:t xml:space="preserve">Documentación interna (importante)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Los comentarios ayudan a entender el código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3028062" cy="91167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062" cy="91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>
          <w:u w:val="single"/>
        </w:rPr>
      </w:pPr>
      <w:bookmarkStart w:colFirst="0" w:colLast="0" w:name="_5ontvi8rbfw6" w:id="10"/>
      <w:bookmarkEnd w:id="10"/>
      <w:r w:rsidDel="00000000" w:rsidR="00000000" w:rsidRPr="00000000">
        <w:rPr>
          <w:u w:val="single"/>
          <w:rtl w:val="0"/>
        </w:rPr>
        <w:t xml:space="preserve">Mal uso de los comentarios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Comentarios que no aclaran nada, solo dicen lo mismo que el código pero con palabras. No ayade ningún valor y solo ensucia el código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3738563" cy="1171351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17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2ouavkyfo01y" w:id="11"/>
      <w:bookmarkEnd w:id="11"/>
      <w:r w:rsidDel="00000000" w:rsidR="00000000" w:rsidRPr="00000000">
        <w:rPr>
          <w:rtl w:val="0"/>
        </w:rPr>
        <w:t xml:space="preserve">Buen uso de los comentarios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Comentario general que describe el bloque/trozo de código que viene a continuación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3481388" cy="18024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80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cc4d9j6f8v1c" w:id="12"/>
      <w:bookmarkEnd w:id="12"/>
      <w:r w:rsidDel="00000000" w:rsidR="00000000" w:rsidRPr="00000000">
        <w:rPr>
          <w:rtl w:val="0"/>
        </w:rPr>
        <w:t xml:space="preserve">Docstring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Docstring es un estándar de documentación de código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Los comentarios que asociamos a las funciones clases y objetos automáticamente documentan esa parte del código, estos se llaman comentarios </w:t>
      </w:r>
      <w:r w:rsidDel="00000000" w:rsidR="00000000" w:rsidRPr="00000000">
        <w:rPr>
          <w:b w:val="1"/>
          <w:rtl w:val="0"/>
        </w:rPr>
        <w:t xml:space="preserve">comentarios de prólogo o de declaración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Indican el propósito, los parámetros (tipos, detalles, etc) y la salida(return/output).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se escriben los comentarios de prólogo?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Escribiendo un comentario multilínea (“”” ”””) justo debajo de la declaración de la función/clase/objeto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Ejemplos: 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2380" cy="1318805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2380" cy="1318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8938" cy="1236933"/>
            <wp:effectExtent b="0" l="0" r="0" t="0"/>
            <wp:docPr id="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1236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135255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Ahora si mantenemos el ratón sobre el nombre de la función nos mostrará un cuadro informativo con la documentación de la función:</w:t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2050" cy="1333500"/>
            <wp:effectExtent b="0" l="0" r="0" t="0"/>
            <wp:docPr id="2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Si ponemos help(media_aritmetica) al ejecutar saldrá la documentación de la función: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71675" cy="48577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13811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 puede conseguir la documentación de las funciones con .</w:t>
      </w:r>
      <w:r w:rsidDel="00000000" w:rsidR="00000000" w:rsidRPr="00000000">
        <w:rPr>
          <w:rtl w:val="0"/>
        </w:rPr>
        <w:t xml:space="preserve">_doc_</w:t>
      </w:r>
      <w:r w:rsidDel="00000000" w:rsidR="00000000" w:rsidRPr="00000000">
        <w:rPr>
          <w:rtl w:val="0"/>
        </w:rPr>
        <w:t xml:space="preserve">, por ejemplo print._doc_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ihm5wnxoc896" w:id="13"/>
      <w:bookmarkEnd w:id="13"/>
      <w:r w:rsidDel="00000000" w:rsidR="00000000" w:rsidRPr="00000000">
        <w:rPr>
          <w:rtl w:val="0"/>
        </w:rPr>
        <w:t xml:space="preserve">Módulos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Son librerías internas. Su propósito es es organizar el código de forma apropiada, así los programas salen limpios, más entendibles y además parte del código podrá ser reutilizado en algún momento.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Es posible llevar una importación selecia del contenido de un módulo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 Python sería creando un fichero .py y metiendo las funciones a reutilizar. Al usarlo en otro programa se hará un import del fichero y se podrán usar las funciones del módulo.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xq73tchnf2lr" w:id="14"/>
      <w:bookmarkEnd w:id="14"/>
      <w:r w:rsidDel="00000000" w:rsidR="00000000" w:rsidRPr="00000000">
        <w:rPr>
          <w:rtl w:val="0"/>
        </w:rPr>
        <w:t xml:space="preserve">Paquetes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Agrupación de módulos.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Será un directorio con los ficheros de los módulos con las funciones. Contendrá un fichero llamado _ _init_ _.py (sin los espacios) que en un principio estará vacío.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Entre otras cosas sirven para crear bibliotecas más amplias.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/>
      </w:pPr>
      <w:bookmarkStart w:colFirst="0" w:colLast="0" w:name="_7yqbz5natd2q" w:id="15"/>
      <w:bookmarkEnd w:id="15"/>
      <w:r w:rsidDel="00000000" w:rsidR="00000000" w:rsidRPr="00000000">
        <w:rPr>
          <w:rtl w:val="0"/>
        </w:rPr>
        <w:t xml:space="preserve">Estilo del código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La segunda opción es más comprensible, los espacios y los paréntesis separan y agrupan las operaciones y facilitan su comprensión al usuario.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51325" cy="537405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325" cy="53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Estandar a seguir: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https://pep8.org/</w:t>
        </w:r>
      </w:hyperlink>
      <w:r w:rsidDel="00000000" w:rsidR="00000000" w:rsidRPr="00000000">
        <w:rPr>
          <w:rtl w:val="0"/>
        </w:rPr>
        <w:t xml:space="preserve"> (leer un poco)</w:t>
      </w: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Julia Gadea Almansa García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8.png"/><Relationship Id="rId21" Type="http://schemas.openxmlformats.org/officeDocument/2006/relationships/image" Target="media/image21.png"/><Relationship Id="rId24" Type="http://schemas.openxmlformats.org/officeDocument/2006/relationships/image" Target="media/image28.png"/><Relationship Id="rId23" Type="http://schemas.openxmlformats.org/officeDocument/2006/relationships/image" Target="media/image3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4.png"/><Relationship Id="rId25" Type="http://schemas.openxmlformats.org/officeDocument/2006/relationships/image" Target="media/image11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29.png"/><Relationship Id="rId7" Type="http://schemas.openxmlformats.org/officeDocument/2006/relationships/image" Target="media/image27.png"/><Relationship Id="rId8" Type="http://schemas.openxmlformats.org/officeDocument/2006/relationships/image" Target="media/image9.png"/><Relationship Id="rId31" Type="http://schemas.openxmlformats.org/officeDocument/2006/relationships/header" Target="header1.xml"/><Relationship Id="rId30" Type="http://schemas.openxmlformats.org/officeDocument/2006/relationships/hyperlink" Target="https://pep8.org/" TargetMode="External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32" Type="http://schemas.openxmlformats.org/officeDocument/2006/relationships/footer" Target="footer1.xml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image" Target="media/image26.png"/><Relationship Id="rId14" Type="http://schemas.openxmlformats.org/officeDocument/2006/relationships/image" Target="media/image32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galmansa184@ieszaidinvergele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