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7xgykjma09u" w:id="0"/>
      <w:bookmarkEnd w:id="0"/>
      <w:r w:rsidDel="00000000" w:rsidR="00000000" w:rsidRPr="00000000">
        <w:rPr>
          <w:rtl w:val="0"/>
        </w:rPr>
        <w:t xml:space="preserve">Unit 1: Programming environment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pzu2vdv4u0sj" w:id="1"/>
      <w:bookmarkEnd w:id="1"/>
      <w:r w:rsidDel="00000000" w:rsidR="00000000" w:rsidRPr="00000000">
        <w:rPr>
          <w:rtl w:val="0"/>
        </w:rPr>
        <w:t xml:space="preserve">Anotaciones del temario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ck1gt9k5w7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d6nmdqns50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Ayuda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tbjmpow2i9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Declarar variables y mostrarlas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mrqqurige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bu1j9rew5d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16r4ckcfq1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z7wgw5z4w8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qck1gt9k5w7e" w:id="2"/>
      <w:bookmarkEnd w:id="2"/>
      <w:r w:rsidDel="00000000" w:rsidR="00000000" w:rsidRPr="00000000">
        <w:rPr>
          <w:rtl w:val="0"/>
        </w:rPr>
        <w:t xml:space="preserve">Instalación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Versiones principales: </w:t>
      </w:r>
      <w:r w:rsidDel="00000000" w:rsidR="00000000" w:rsidRPr="00000000">
        <w:rPr>
          <w:b w:val="1"/>
          <w:rtl w:val="0"/>
        </w:rPr>
        <w:t xml:space="preserve">Python2 y Python 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Son dos ramas y ambas están en uso. Dan soporte a la ver2. Lo suyo es empezar los proyectos con la ver3 pero en un futuro seguramente nos toque trabajar con la ver2.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Marcar última opcion y dar a install now (instalación rápida)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881438" cy="2363961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363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Tutorial de python: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https://docs.python.org/3.12/tutorial/index.html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Usaremos el modo interactivo par que la ejecución sea poco a poco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Abrir cmd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ejecutar el entorno de ejecución de python: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10953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6477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fd6nmdqns50i" w:id="3"/>
      <w:bookmarkEnd w:id="3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yuda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386715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253365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120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1628775" cy="4095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itbjmpow2i96" w:id="4"/>
      <w:bookmarkEnd w:id="4"/>
      <w:r w:rsidDel="00000000" w:rsidR="00000000" w:rsidRPr="00000000">
        <w:rPr>
          <w:rtl w:val="0"/>
        </w:rPr>
        <w:t xml:space="preserve">Declarar variables y mostrarlas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Aquí las variables no necesitan $ como en php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1038225" cy="3714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71600" cy="85725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3mrqqurigell" w:id="5"/>
      <w:bookmarkEnd w:id="5"/>
      <w:r w:rsidDel="00000000" w:rsidR="00000000" w:rsidRPr="00000000">
        <w:rPr>
          <w:rtl w:val="0"/>
        </w:rPr>
        <w:t xml:space="preserve">Print: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6477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109537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pbu1j9rew5db" w:id="6"/>
      <w:bookmarkEnd w:id="6"/>
      <w:r w:rsidDel="00000000" w:rsidR="00000000" w:rsidRPr="00000000">
        <w:rPr>
          <w:rtl w:val="0"/>
        </w:rPr>
        <w:t xml:space="preserve">Modos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 modo interactivo sirve para este tipo de instrucciones cortas (terminal normal como en lo descrito anteriormente).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 modo script es el de escribir scripts con la extensión .py.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f16r4ckcfq1j" w:id="7"/>
      <w:bookmarkEnd w:id="7"/>
      <w:r w:rsidDel="00000000" w:rsidR="00000000" w:rsidRPr="00000000">
        <w:rPr>
          <w:rtl w:val="0"/>
        </w:rPr>
        <w:t xml:space="preserve">Comentarios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20478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sz7wgw5z4w81" w:id="8"/>
      <w:bookmarkEnd w:id="8"/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Interfaz gráfica del intérprete de comandos de python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17716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Tiene las mismas funcionalidades que la cmd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Ejecutar en IDLE: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70485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y9clkyeok2ys" w:id="9"/>
      <w:bookmarkEnd w:id="9"/>
      <w:r w:rsidDel="00000000" w:rsidR="00000000" w:rsidRPr="00000000">
        <w:rPr>
          <w:rtl w:val="0"/>
        </w:rPr>
        <w:t xml:space="preserve">Calculadora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1427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1716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ik3cxaurtvz7" w:id="10"/>
      <w:bookmarkEnd w:id="10"/>
      <w:r w:rsidDel="00000000" w:rsidR="00000000" w:rsidRPr="00000000">
        <w:rPr>
          <w:rtl w:val="0"/>
        </w:rPr>
        <w:t xml:space="preserve">Cargar módulos: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1504950" cy="6191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Ver sus recursos (hacer doble click para leer la ayuda):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1981200" cy="7334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1695450" cy="20288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8.png"/><Relationship Id="rId21" Type="http://schemas.openxmlformats.org/officeDocument/2006/relationships/image" Target="media/image19.png"/><Relationship Id="rId24" Type="http://schemas.openxmlformats.org/officeDocument/2006/relationships/image" Target="media/image11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docs.python.org/3.12/tutorial/index.html" TargetMode="External"/><Relationship Id="rId8" Type="http://schemas.openxmlformats.org/officeDocument/2006/relationships/image" Target="media/image13.png"/><Relationship Id="rId11" Type="http://schemas.openxmlformats.org/officeDocument/2006/relationships/image" Target="media/image10.png"/><Relationship Id="rId10" Type="http://schemas.openxmlformats.org/officeDocument/2006/relationships/image" Target="media/image15.png"/><Relationship Id="rId13" Type="http://schemas.openxmlformats.org/officeDocument/2006/relationships/image" Target="media/image14.png"/><Relationship Id="rId12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7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19" Type="http://schemas.openxmlformats.org/officeDocument/2006/relationships/image" Target="media/image16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