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Resultados del Informe Completo</w:t>
      </w:r>
    </w:p>
    <w:p>
      <w:pPr>
        <w:pStyle w:val="Heading1"/>
      </w:pPr>
      <w:r>
        <w:t>Distribución: Nombre propio titular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Nombre propio titular</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w:t>
            </w:r>
          </w:p>
        </w:tc>
        <w:tc>
          <w:tcPr>
            <w:tcW w:type="dxa" w:w="1234"/>
          </w:tcPr>
          <w:p>
            <w:r>
              <w:t>46.41%</w:t>
            </w:r>
          </w:p>
        </w:tc>
        <w:tc>
          <w:tcPr>
            <w:tcW w:type="dxa" w:w="1234"/>
          </w:tcPr>
          <w:p>
            <w:r>
              <w:t>63.26%</w:t>
            </w:r>
          </w:p>
        </w:tc>
        <w:tc>
          <w:tcPr>
            <w:tcW w:type="dxa" w:w="1234"/>
          </w:tcPr>
          <w:p>
            <w:r>
              <w:t>37.36%</w:t>
            </w:r>
          </w:p>
        </w:tc>
        <w:tc>
          <w:tcPr>
            <w:tcW w:type="dxa" w:w="1234"/>
          </w:tcPr>
          <w:p>
            <w:r>
              <w:t>36.74%</w:t>
            </w:r>
          </w:p>
        </w:tc>
        <w:tc>
          <w:tcPr>
            <w:tcW w:type="dxa" w:w="1234"/>
          </w:tcPr>
          <w:p>
            <w:r>
              <w:t>42.61%</w:t>
            </w:r>
          </w:p>
        </w:tc>
        <w:tc>
          <w:tcPr>
            <w:tcW w:type="dxa" w:w="1234"/>
          </w:tcPr>
          <w:p>
            <w:r>
              <w:t>3032</w:t>
            </w:r>
          </w:p>
        </w:tc>
      </w:tr>
      <w:tr>
        <w:tc>
          <w:tcPr>
            <w:tcW w:type="dxa" w:w="1234"/>
          </w:tcPr>
          <w:p>
            <w:r>
              <w:t>2</w:t>
            </w:r>
          </w:p>
        </w:tc>
        <w:tc>
          <w:tcPr>
            <w:tcW w:type="dxa" w:w="1234"/>
          </w:tcPr>
          <w:p>
            <w:r>
              <w:t>9.97%</w:t>
            </w:r>
          </w:p>
        </w:tc>
        <w:tc>
          <w:tcPr>
            <w:tcW w:type="dxa" w:w="1234"/>
          </w:tcPr>
          <w:p>
            <w:r>
              <w:t>44.16%</w:t>
            </w:r>
          </w:p>
        </w:tc>
        <w:tc>
          <w:tcPr>
            <w:tcW w:type="dxa" w:w="1234"/>
          </w:tcPr>
          <w:p>
            <w:r>
              <w:t>17.47%</w:t>
            </w:r>
          </w:p>
        </w:tc>
        <w:tc>
          <w:tcPr>
            <w:tcW w:type="dxa" w:w="1234"/>
          </w:tcPr>
          <w:p>
            <w:r>
              <w:t>55.84%</w:t>
            </w:r>
          </w:p>
        </w:tc>
        <w:tc>
          <w:tcPr>
            <w:tcW w:type="dxa" w:w="1234"/>
          </w:tcPr>
          <w:p>
            <w:r>
              <w:t>13.11%</w:t>
            </w:r>
          </w:p>
        </w:tc>
        <w:tc>
          <w:tcPr>
            <w:tcW w:type="dxa" w:w="1234"/>
          </w:tcPr>
          <w:p>
            <w:r>
              <w:t>933</w:t>
            </w:r>
          </w:p>
        </w:tc>
      </w:tr>
      <w:tr>
        <w:tc>
          <w:tcPr>
            <w:tcW w:type="dxa" w:w="1234"/>
          </w:tcPr>
          <w:p>
            <w:r>
              <w:t>3</w:t>
            </w:r>
          </w:p>
        </w:tc>
        <w:tc>
          <w:tcPr>
            <w:tcW w:type="dxa" w:w="1234"/>
          </w:tcPr>
          <w:p>
            <w:r>
              <w:t>2.81%</w:t>
            </w:r>
          </w:p>
        </w:tc>
        <w:tc>
          <w:tcPr>
            <w:tcW w:type="dxa" w:w="1234"/>
          </w:tcPr>
          <w:p>
            <w:r>
              <w:t>38.93%</w:t>
            </w:r>
          </w:p>
        </w:tc>
        <w:tc>
          <w:tcPr>
            <w:tcW w:type="dxa" w:w="1234"/>
          </w:tcPr>
          <w:p>
            <w:r>
              <w:t>6.10%</w:t>
            </w:r>
          </w:p>
        </w:tc>
        <w:tc>
          <w:tcPr>
            <w:tcW w:type="dxa" w:w="1234"/>
          </w:tcPr>
          <w:p>
            <w:r>
              <w:t>61.07%</w:t>
            </w:r>
          </w:p>
        </w:tc>
        <w:tc>
          <w:tcPr>
            <w:tcW w:type="dxa" w:w="1234"/>
          </w:tcPr>
          <w:p>
            <w:r>
              <w:t>4.19%</w:t>
            </w:r>
          </w:p>
        </w:tc>
        <w:tc>
          <w:tcPr>
            <w:tcW w:type="dxa" w:w="1234"/>
          </w:tcPr>
          <w:p>
            <w:r>
              <w:t>298</w:t>
            </w:r>
          </w:p>
        </w:tc>
      </w:tr>
      <w:tr>
        <w:tc>
          <w:tcPr>
            <w:tcW w:type="dxa" w:w="1234"/>
          </w:tcPr>
          <w:p>
            <w:r>
              <w:t>4</w:t>
            </w:r>
          </w:p>
        </w:tc>
        <w:tc>
          <w:tcPr>
            <w:tcW w:type="dxa" w:w="1234"/>
          </w:tcPr>
          <w:p>
            <w:r>
              <w:t>0.46%</w:t>
            </w:r>
          </w:p>
        </w:tc>
        <w:tc>
          <w:tcPr>
            <w:tcW w:type="dxa" w:w="1234"/>
          </w:tcPr>
          <w:p>
            <w:r>
              <w:t>26.39%</w:t>
            </w:r>
          </w:p>
        </w:tc>
        <w:tc>
          <w:tcPr>
            <w:tcW w:type="dxa" w:w="1234"/>
          </w:tcPr>
          <w:p>
            <w:r>
              <w:t>1.78%</w:t>
            </w:r>
          </w:p>
        </w:tc>
        <w:tc>
          <w:tcPr>
            <w:tcW w:type="dxa" w:w="1234"/>
          </w:tcPr>
          <w:p>
            <w:r>
              <w:t>73.61%</w:t>
            </w:r>
          </w:p>
        </w:tc>
        <w:tc>
          <w:tcPr>
            <w:tcW w:type="dxa" w:w="1234"/>
          </w:tcPr>
          <w:p>
            <w:r>
              <w:t>1.01%</w:t>
            </w:r>
          </w:p>
        </w:tc>
        <w:tc>
          <w:tcPr>
            <w:tcW w:type="dxa" w:w="1234"/>
          </w:tcPr>
          <w:p>
            <w:r>
              <w:t>72</w:t>
            </w:r>
          </w:p>
        </w:tc>
      </w:tr>
      <w:tr>
        <w:tc>
          <w:tcPr>
            <w:tcW w:type="dxa" w:w="1234"/>
          </w:tcPr>
          <w:p>
            <w:r>
              <w:t>5</w:t>
            </w:r>
          </w:p>
        </w:tc>
        <w:tc>
          <w:tcPr>
            <w:tcW w:type="dxa" w:w="1234"/>
          </w:tcPr>
          <w:p>
            <w:r>
              <w:t>40.36%</w:t>
            </w:r>
          </w:p>
        </w:tc>
        <w:tc>
          <w:tcPr>
            <w:tcW w:type="dxa" w:w="1234"/>
          </w:tcPr>
          <w:p>
            <w:r>
              <w:t>60.00%</w:t>
            </w:r>
          </w:p>
        </w:tc>
        <w:tc>
          <w:tcPr>
            <w:tcW w:type="dxa" w:w="1234"/>
          </w:tcPr>
          <w:p>
            <w:r>
              <w:t>37.29%</w:t>
            </w:r>
          </w:p>
        </w:tc>
        <w:tc>
          <w:tcPr>
            <w:tcW w:type="dxa" w:w="1234"/>
          </w:tcPr>
          <w:p>
            <w:r>
              <w:t>40.00%</w:t>
            </w:r>
          </w:p>
        </w:tc>
        <w:tc>
          <w:tcPr>
            <w:tcW w:type="dxa" w:w="1234"/>
          </w:tcPr>
          <w:p>
            <w:r>
              <w:t>39.07%</w:t>
            </w:r>
          </w:p>
        </w:tc>
        <w:tc>
          <w:tcPr>
            <w:tcW w:type="dxa" w:w="1234"/>
          </w:tcPr>
          <w:p>
            <w:r>
              <w:t>2780</w:t>
            </w:r>
          </w:p>
        </w:tc>
      </w:tr>
      <w:tr>
        <w:tc>
          <w:tcPr>
            <w:tcW w:type="dxa" w:w="1234"/>
          </w:tcPr>
          <w:p>
            <w:r>
              <w:t>Total</w:t>
            </w:r>
          </w:p>
        </w:tc>
        <w:tc>
          <w:tcPr>
            <w:tcW w:type="dxa" w:w="1234"/>
          </w:tcPr>
          <w:p>
            <w:r>
              <w:t>100%</w:t>
            </w:r>
          </w:p>
        </w:tc>
        <w:tc>
          <w:tcPr>
            <w:tcW w:type="dxa" w:w="1234"/>
          </w:tcPr>
          <w:p>
            <w:r>
              <w:t>58.09%</w:t>
            </w:r>
          </w:p>
        </w:tc>
        <w:tc>
          <w:tcPr>
            <w:tcW w:type="dxa" w:w="1234"/>
          </w:tcPr>
          <w:p>
            <w:r>
              <w:t>100%</w:t>
            </w:r>
          </w:p>
        </w:tc>
        <w:tc>
          <w:tcPr>
            <w:tcW w:type="dxa" w:w="1234"/>
          </w:tcPr>
          <w:p>
            <w:r>
              <w:t>41.91%</w:t>
            </w:r>
          </w:p>
        </w:tc>
        <w:tc>
          <w:tcPr>
            <w:tcW w:type="dxa" w:w="1234"/>
          </w:tcPr>
          <w:p>
            <w:r>
              <w:t>100%</w:t>
            </w:r>
          </w:p>
        </w:tc>
        <w:tc>
          <w:tcPr>
            <w:tcW w:type="dxa" w:w="1234"/>
          </w:tcPr>
          <w:p>
            <w:r>
              <w:t>7115</w:t>
            </w:r>
          </w:p>
        </w:tc>
      </w:tr>
    </w:tbl>
    <w:p/>
    <w:p>
      <w:pPr>
        <w:pStyle w:val="Heading2"/>
      </w:pPr>
      <w:r>
        <w:t>Análisis descriptivo (nombre_propio_titular)</w:t>
      </w:r>
    </w:p>
    <w:p>
      <w:r>
        <w:t>El análisis de la tabla de contingencia revela una marcada polarización en el campo de nombres titulares, donde las entidades 1 y 5 mantienen un predominio estructural, concentrando conjuntamente más del 81% de la frecuencia total. Históricamente, la cuota de mercado de estos dos nombres ha demostrado una notable resiliencia, con la entidad 1 conservando un peso sustancial (46.41% en 2017-2021 vs. 37.36% en 2024) y la entidad 5 demostrando una estabilidad en su alta participación (40.36% vs. 37.29%). No obstante, la dinámica del periodo 2024 indica un proceso incipiente de reconfiguración o descentralización, evidenciado por el crecimiento relativo de otros actores.</w:t>
        <w:br/>
        <w:br/>
        <w:t>Esta dinámica de reequilibrio es particularmente visible en los actores 2, 3 y 4. Mientras que el nombre 2 incrementa notablemente su participación proporcional, pasando del 9.97% al 17.47%, la entidad 3 muestra un salto de relevancia, elevando su representación del 2.81% al 6.10% en 2024. De manera más llamativa, la entidad 4 registra el mayor crecimiento relativo, pasando de ser marginal (0.46%) a ocupar el 1.78% de la participación en el año 2024. Este aumento en la visibilidad de actores secundarios sugiere que, si bien el liderazgo sigue concentrado en las entidades 1 y 5, el ecosistema analizado está experimentando una diversificación de la representación y una creciente competencia por la cuota de mercado.</w:t>
      </w:r>
    </w:p>
    <w:p>
      <w:r>
        <w:br w:type="page"/>
      </w:r>
    </w:p>
    <w:p>
      <w:pPr>
        <w:pStyle w:val="Heading1"/>
      </w:pPr>
      <w:r>
        <w:t>Distribución: Cita en titulo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Cita en titulo</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w:t>
            </w:r>
          </w:p>
        </w:tc>
        <w:tc>
          <w:tcPr>
            <w:tcW w:type="dxa" w:w="1234"/>
          </w:tcPr>
          <w:p>
            <w:r>
              <w:t>91.07%</w:t>
            </w:r>
          </w:p>
        </w:tc>
        <w:tc>
          <w:tcPr>
            <w:tcW w:type="dxa" w:w="1234"/>
          </w:tcPr>
          <w:p>
            <w:r>
              <w:t>60.20%</w:t>
            </w:r>
          </w:p>
        </w:tc>
        <w:tc>
          <w:tcPr>
            <w:tcW w:type="dxa" w:w="1234"/>
          </w:tcPr>
          <w:p>
            <w:r>
              <w:t>83.47%</w:t>
            </w:r>
          </w:p>
        </w:tc>
        <w:tc>
          <w:tcPr>
            <w:tcW w:type="dxa" w:w="1234"/>
          </w:tcPr>
          <w:p>
            <w:r>
              <w:t>39.80%</w:t>
            </w:r>
          </w:p>
        </w:tc>
        <w:tc>
          <w:tcPr>
            <w:tcW w:type="dxa" w:w="1234"/>
          </w:tcPr>
          <w:p>
            <w:r>
              <w:t>87.88%</w:t>
            </w:r>
          </w:p>
        </w:tc>
        <w:tc>
          <w:tcPr>
            <w:tcW w:type="dxa" w:w="1234"/>
          </w:tcPr>
          <w:p>
            <w:r>
              <w:t>6253</w:t>
            </w:r>
          </w:p>
        </w:tc>
      </w:tr>
      <w:tr>
        <w:tc>
          <w:tcPr>
            <w:tcW w:type="dxa" w:w="1234"/>
          </w:tcPr>
          <w:p>
            <w:r>
              <w:t>2</w:t>
            </w:r>
          </w:p>
        </w:tc>
        <w:tc>
          <w:tcPr>
            <w:tcW w:type="dxa" w:w="1234"/>
          </w:tcPr>
          <w:p>
            <w:r>
              <w:t>8.57%</w:t>
            </w:r>
          </w:p>
        </w:tc>
        <w:tc>
          <w:tcPr>
            <w:tcW w:type="dxa" w:w="1234"/>
          </w:tcPr>
          <w:p>
            <w:r>
              <w:t>43.65%</w:t>
            </w:r>
          </w:p>
        </w:tc>
        <w:tc>
          <w:tcPr>
            <w:tcW w:type="dxa" w:w="1234"/>
          </w:tcPr>
          <w:p>
            <w:r>
              <w:t>15.33%</w:t>
            </w:r>
          </w:p>
        </w:tc>
        <w:tc>
          <w:tcPr>
            <w:tcW w:type="dxa" w:w="1234"/>
          </w:tcPr>
          <w:p>
            <w:r>
              <w:t>56.35%</w:t>
            </w:r>
          </w:p>
        </w:tc>
        <w:tc>
          <w:tcPr>
            <w:tcW w:type="dxa" w:w="1234"/>
          </w:tcPr>
          <w:p>
            <w:r>
              <w:t>11.40%</w:t>
            </w:r>
          </w:p>
        </w:tc>
        <w:tc>
          <w:tcPr>
            <w:tcW w:type="dxa" w:w="1234"/>
          </w:tcPr>
          <w:p>
            <w:r>
              <w:t>811</w:t>
            </w:r>
          </w:p>
        </w:tc>
      </w:tr>
      <w:tr>
        <w:tc>
          <w:tcPr>
            <w:tcW w:type="dxa" w:w="1234"/>
          </w:tcPr>
          <w:p>
            <w:r>
              <w:t>3</w:t>
            </w:r>
          </w:p>
        </w:tc>
        <w:tc>
          <w:tcPr>
            <w:tcW w:type="dxa" w:w="1234"/>
          </w:tcPr>
          <w:p>
            <w:r>
              <w:t>0.36%</w:t>
            </w:r>
          </w:p>
        </w:tc>
        <w:tc>
          <w:tcPr>
            <w:tcW w:type="dxa" w:w="1234"/>
          </w:tcPr>
          <w:p>
            <w:r>
              <w:t>29.41%</w:t>
            </w:r>
          </w:p>
        </w:tc>
        <w:tc>
          <w:tcPr>
            <w:tcW w:type="dxa" w:w="1234"/>
          </w:tcPr>
          <w:p>
            <w:r>
              <w:t>1.21%</w:t>
            </w:r>
          </w:p>
        </w:tc>
        <w:tc>
          <w:tcPr>
            <w:tcW w:type="dxa" w:w="1234"/>
          </w:tcPr>
          <w:p>
            <w:r>
              <w:t>70.59%</w:t>
            </w:r>
          </w:p>
        </w:tc>
        <w:tc>
          <w:tcPr>
            <w:tcW w:type="dxa" w:w="1234"/>
          </w:tcPr>
          <w:p>
            <w:r>
              <w:t>0.72%</w:t>
            </w:r>
          </w:p>
        </w:tc>
        <w:tc>
          <w:tcPr>
            <w:tcW w:type="dxa" w:w="1234"/>
          </w:tcPr>
          <w:p>
            <w:r>
              <w:t>51</w:t>
            </w:r>
          </w:p>
        </w:tc>
      </w:tr>
      <w:tr>
        <w:tc>
          <w:tcPr>
            <w:tcW w:type="dxa" w:w="1234"/>
          </w:tcPr>
          <w:p>
            <w:r>
              <w:t>Total</w:t>
            </w:r>
          </w:p>
        </w:tc>
        <w:tc>
          <w:tcPr>
            <w:tcW w:type="dxa" w:w="1234"/>
          </w:tcPr>
          <w:p>
            <w:r>
              <w:t>100%</w:t>
            </w:r>
          </w:p>
        </w:tc>
        <w:tc>
          <w:tcPr>
            <w:tcW w:type="dxa" w:w="1234"/>
          </w:tcPr>
          <w:p>
            <w:r>
              <w:t>58.09%</w:t>
            </w:r>
          </w:p>
        </w:tc>
        <w:tc>
          <w:tcPr>
            <w:tcW w:type="dxa" w:w="1234"/>
          </w:tcPr>
          <w:p>
            <w:r>
              <w:t>100%</w:t>
            </w:r>
          </w:p>
        </w:tc>
        <w:tc>
          <w:tcPr>
            <w:tcW w:type="dxa" w:w="1234"/>
          </w:tcPr>
          <w:p>
            <w:r>
              <w:t>41.91%</w:t>
            </w:r>
          </w:p>
        </w:tc>
        <w:tc>
          <w:tcPr>
            <w:tcW w:type="dxa" w:w="1234"/>
          </w:tcPr>
          <w:p>
            <w:r>
              <w:t>100%</w:t>
            </w:r>
          </w:p>
        </w:tc>
        <w:tc>
          <w:tcPr>
            <w:tcW w:type="dxa" w:w="1234"/>
          </w:tcPr>
          <w:p>
            <w:r>
              <w:t>7115</w:t>
            </w:r>
          </w:p>
        </w:tc>
      </w:tr>
    </w:tbl>
    <w:p/>
    <w:p>
      <w:pPr>
        <w:pStyle w:val="Heading2"/>
      </w:pPr>
      <w:r>
        <w:t>Análisis descriptivo (cita_en_titulo)</w:t>
      </w:r>
    </w:p>
    <w:p>
      <w:r>
        <w:t>El análisis de la tabla de contingencia revela una clara dinámica temporal en la distribución de las categorías analizadas. En términos generales, la mayor proporción de respuestas está concentrada en el periodo comprendido entre 2017 y 2021 (58.09% del total de observaciones). Dentro de este periodo inicial, la Categoría 1 emerge como el factor dominante, constituyendo el 60.20% de las citas registradas.</w:t>
        <w:br/>
        <w:br/>
        <w:t>No obstante, la distribución exhibe variaciones notables cuando se compara con la situación de 2024. Si bien el periodo de 2017 a 2021 estuvo fuertemente impulsado por la Categoría 1, en 2024 observamos una mayor dispersión y un cambio en los patrones de referencia. Específicamente, la Categoría 2, aunque mantiene una presencia relevante, muestra un aumento porcentual significativo de su participación en 2024 (56.35% de sus citas totales), en comparación con el periodo anterior. El cambio más llamativo, sin embargo, recae en la Categoría 3; a pesar de su baja frecuencia global, el 70.59% de sus citas provienen de 2024, sugiriendo un incremento drástico en la relevancia o el foco de esta categoría en el contexto más reciente.</w:t>
      </w:r>
    </w:p>
    <w:p>
      <w:r>
        <w:br w:type="page"/>
      </w:r>
    </w:p>
    <w:p>
      <w:pPr>
        <w:pStyle w:val="Heading1"/>
      </w:pPr>
      <w:r>
        <w:t>Distribución: Cla genero prota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Cla genero prota</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w:t>
            </w:r>
          </w:p>
        </w:tc>
        <w:tc>
          <w:tcPr>
            <w:tcW w:type="dxa" w:w="1234"/>
          </w:tcPr>
          <w:p>
            <w:r>
              <w:t>43.79%</w:t>
            </w:r>
          </w:p>
        </w:tc>
        <w:tc>
          <w:tcPr>
            <w:tcW w:type="dxa" w:w="1234"/>
          </w:tcPr>
          <w:p>
            <w:r>
              <w:t>61.15%</w:t>
            </w:r>
          </w:p>
        </w:tc>
        <w:tc>
          <w:tcPr>
            <w:tcW w:type="dxa" w:w="1234"/>
          </w:tcPr>
          <w:p>
            <w:r>
              <w:t>38.56%</w:t>
            </w:r>
          </w:p>
        </w:tc>
        <w:tc>
          <w:tcPr>
            <w:tcW w:type="dxa" w:w="1234"/>
          </w:tcPr>
          <w:p>
            <w:r>
              <w:t>38.85%</w:t>
            </w:r>
          </w:p>
        </w:tc>
        <w:tc>
          <w:tcPr>
            <w:tcW w:type="dxa" w:w="1234"/>
          </w:tcPr>
          <w:p>
            <w:r>
              <w:t>41.60%</w:t>
            </w:r>
          </w:p>
        </w:tc>
        <w:tc>
          <w:tcPr>
            <w:tcW w:type="dxa" w:w="1234"/>
          </w:tcPr>
          <w:p>
            <w:r>
              <w:t>2960</w:t>
            </w:r>
          </w:p>
        </w:tc>
      </w:tr>
      <w:tr>
        <w:tc>
          <w:tcPr>
            <w:tcW w:type="dxa" w:w="1234"/>
          </w:tcPr>
          <w:p>
            <w:r>
              <w:t>2</w:t>
            </w:r>
          </w:p>
        </w:tc>
        <w:tc>
          <w:tcPr>
            <w:tcW w:type="dxa" w:w="1234"/>
          </w:tcPr>
          <w:p>
            <w:r>
              <w:t>4.91%</w:t>
            </w:r>
          </w:p>
        </w:tc>
        <w:tc>
          <w:tcPr>
            <w:tcW w:type="dxa" w:w="1234"/>
          </w:tcPr>
          <w:p>
            <w:r>
              <w:t>53.56%</w:t>
            </w:r>
          </w:p>
        </w:tc>
        <w:tc>
          <w:tcPr>
            <w:tcW w:type="dxa" w:w="1234"/>
          </w:tcPr>
          <w:p>
            <w:r>
              <w:t>5.90%</w:t>
            </w:r>
          </w:p>
        </w:tc>
        <w:tc>
          <w:tcPr>
            <w:tcW w:type="dxa" w:w="1234"/>
          </w:tcPr>
          <w:p>
            <w:r>
              <w:t>46.44%</w:t>
            </w:r>
          </w:p>
        </w:tc>
        <w:tc>
          <w:tcPr>
            <w:tcW w:type="dxa" w:w="1234"/>
          </w:tcPr>
          <w:p>
            <w:r>
              <w:t>5.33%</w:t>
            </w:r>
          </w:p>
        </w:tc>
        <w:tc>
          <w:tcPr>
            <w:tcW w:type="dxa" w:w="1234"/>
          </w:tcPr>
          <w:p>
            <w:r>
              <w:t>379</w:t>
            </w:r>
          </w:p>
        </w:tc>
      </w:tr>
      <w:tr>
        <w:tc>
          <w:tcPr>
            <w:tcW w:type="dxa" w:w="1234"/>
          </w:tcPr>
          <w:p>
            <w:r>
              <w:t>3</w:t>
            </w:r>
          </w:p>
        </w:tc>
        <w:tc>
          <w:tcPr>
            <w:tcW w:type="dxa" w:w="1234"/>
          </w:tcPr>
          <w:p>
            <w:r>
              <w:t>36.97%</w:t>
            </w:r>
          </w:p>
        </w:tc>
        <w:tc>
          <w:tcPr>
            <w:tcW w:type="dxa" w:w="1234"/>
          </w:tcPr>
          <w:p>
            <w:r>
              <w:t>54.98%</w:t>
            </w:r>
          </w:p>
        </w:tc>
        <w:tc>
          <w:tcPr>
            <w:tcW w:type="dxa" w:w="1234"/>
          </w:tcPr>
          <w:p>
            <w:r>
              <w:t>41.95%</w:t>
            </w:r>
          </w:p>
        </w:tc>
        <w:tc>
          <w:tcPr>
            <w:tcW w:type="dxa" w:w="1234"/>
          </w:tcPr>
          <w:p>
            <w:r>
              <w:t>45.02%</w:t>
            </w:r>
          </w:p>
        </w:tc>
        <w:tc>
          <w:tcPr>
            <w:tcW w:type="dxa" w:w="1234"/>
          </w:tcPr>
          <w:p>
            <w:r>
              <w:t>39.06%</w:t>
            </w:r>
          </w:p>
        </w:tc>
        <w:tc>
          <w:tcPr>
            <w:tcW w:type="dxa" w:w="1234"/>
          </w:tcPr>
          <w:p>
            <w:r>
              <w:t>2779</w:t>
            </w:r>
          </w:p>
        </w:tc>
      </w:tr>
      <w:tr>
        <w:tc>
          <w:tcPr>
            <w:tcW w:type="dxa" w:w="1234"/>
          </w:tcPr>
          <w:p>
            <w:r>
              <w:t>4</w:t>
            </w:r>
          </w:p>
        </w:tc>
        <w:tc>
          <w:tcPr>
            <w:tcW w:type="dxa" w:w="1234"/>
          </w:tcPr>
          <w:p>
            <w:r>
              <w:t>14.32%</w:t>
            </w:r>
          </w:p>
        </w:tc>
        <w:tc>
          <w:tcPr>
            <w:tcW w:type="dxa" w:w="1234"/>
          </w:tcPr>
          <w:p>
            <w:r>
              <w:t>59.38%</w:t>
            </w:r>
          </w:p>
        </w:tc>
        <w:tc>
          <w:tcPr>
            <w:tcW w:type="dxa" w:w="1234"/>
          </w:tcPr>
          <w:p>
            <w:r>
              <w:t>13.58%</w:t>
            </w:r>
          </w:p>
        </w:tc>
        <w:tc>
          <w:tcPr>
            <w:tcW w:type="dxa" w:w="1234"/>
          </w:tcPr>
          <w:p>
            <w:r>
              <w:t>40.62%</w:t>
            </w:r>
          </w:p>
        </w:tc>
        <w:tc>
          <w:tcPr>
            <w:tcW w:type="dxa" w:w="1234"/>
          </w:tcPr>
          <w:p>
            <w:r>
              <w:t>14.01%</w:t>
            </w:r>
          </w:p>
        </w:tc>
        <w:tc>
          <w:tcPr>
            <w:tcW w:type="dxa" w:w="1234"/>
          </w:tcPr>
          <w:p>
            <w:r>
              <w:t>997</w:t>
            </w:r>
          </w:p>
        </w:tc>
      </w:tr>
      <w:tr>
        <w:tc>
          <w:tcPr>
            <w:tcW w:type="dxa" w:w="1234"/>
          </w:tcPr>
          <w:p>
            <w:r>
              <w:t>Total</w:t>
            </w:r>
          </w:p>
        </w:tc>
        <w:tc>
          <w:tcPr>
            <w:tcW w:type="dxa" w:w="1234"/>
          </w:tcPr>
          <w:p>
            <w:r>
              <w:t>100%</w:t>
            </w:r>
          </w:p>
        </w:tc>
        <w:tc>
          <w:tcPr>
            <w:tcW w:type="dxa" w:w="1234"/>
          </w:tcPr>
          <w:p>
            <w:r>
              <w:t>58.09%</w:t>
            </w:r>
          </w:p>
        </w:tc>
        <w:tc>
          <w:tcPr>
            <w:tcW w:type="dxa" w:w="1234"/>
          </w:tcPr>
          <w:p>
            <w:r>
              <w:t>100%</w:t>
            </w:r>
          </w:p>
        </w:tc>
        <w:tc>
          <w:tcPr>
            <w:tcW w:type="dxa" w:w="1234"/>
          </w:tcPr>
          <w:p>
            <w:r>
              <w:t>41.91%</w:t>
            </w:r>
          </w:p>
        </w:tc>
        <w:tc>
          <w:tcPr>
            <w:tcW w:type="dxa" w:w="1234"/>
          </w:tcPr>
          <w:p>
            <w:r>
              <w:t>100%</w:t>
            </w:r>
          </w:p>
        </w:tc>
        <w:tc>
          <w:tcPr>
            <w:tcW w:type="dxa" w:w="1234"/>
          </w:tcPr>
          <w:p>
            <w:r>
              <w:t>7115</w:t>
            </w:r>
          </w:p>
        </w:tc>
      </w:tr>
    </w:tbl>
    <w:p/>
    <w:p>
      <w:pPr>
        <w:pStyle w:val="Heading2"/>
      </w:pPr>
      <w:r>
        <w:t>Análisis descriptivo (cla_genero_prota)</w:t>
      </w:r>
    </w:p>
    <w:p>
      <w:r>
        <w:t>Los análisis de las frecuencias relativas en la tabla de contingencia sugieren una estructura de dominancia sostenida en los prototipos 1 y 3, los cuales, respectivamente, concentran el 43.79% y el 36.97% de las ocurrencias durante el periodo 2017-2021. Aunque estos prototipos mantienen la mayor representación en 2024 (38.56% y 41.95%, respectivamente), es notable la tendencia de desplazamiento proporcional que beneficia particularmente al prototipo 3, cuya cuota de mercado relativa experimenta un aumento evidente respecto al periodo anterior. En contraste, el prototipo 1, si bien sigue siendo el más representativo en términos de magnitud, muestra una ligera contracción en su proporción relativa al pasar a 2024.</w:t>
        <w:br/>
        <w:br/>
        <w:t>A nivel de patrones de persistencia, todos los prototipos demuestran una alta contribución al total observado, lo que indica una estabilidad estructural en la muestra. Sin embargo, el prototipo 2, que históricamente ha mantenido una baja proporción (4.91% en el periodo inicial), presenta un incremento significativo y relevante en su contribución porcentual en 2024 (5.90%), lo que podría señalar un aumento en su visibilidad o emergencia como un factor creciente a corto plazo. Estos cambios proporcionales sugieren que, aunque la dominancia recae en los prototipos 1 y 3, la dinámica de la muestra está siendo ligeramente reequilibrada por el crecimiento proporcional del prototipo 3 y la creciente relevancia relativa del prototipo 2 en el periodo más reciente.</w:t>
      </w:r>
    </w:p>
    <w:p>
      <w:r>
        <w:br w:type="page"/>
      </w:r>
    </w:p>
    <w:p>
      <w:pPr>
        <w:pStyle w:val="Heading1"/>
      </w:pPr>
      <w:r>
        <w:t>Distribución: Genero periodista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Genero periodista</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w:t>
            </w:r>
          </w:p>
        </w:tc>
        <w:tc>
          <w:tcPr>
            <w:tcW w:type="dxa" w:w="1234"/>
          </w:tcPr>
          <w:p>
            <w:r>
              <w:t>49.94%</w:t>
            </w:r>
          </w:p>
        </w:tc>
        <w:tc>
          <w:tcPr>
            <w:tcW w:type="dxa" w:w="1234"/>
          </w:tcPr>
          <w:p>
            <w:r>
              <w:t>59.17%</w:t>
            </w:r>
          </w:p>
        </w:tc>
        <w:tc>
          <w:tcPr>
            <w:tcW w:type="dxa" w:w="1234"/>
          </w:tcPr>
          <w:p>
            <w:r>
              <w:t>47.75%</w:t>
            </w:r>
          </w:p>
        </w:tc>
        <w:tc>
          <w:tcPr>
            <w:tcW w:type="dxa" w:w="1234"/>
          </w:tcPr>
          <w:p>
            <w:r>
              <w:t>40.83%</w:t>
            </w:r>
          </w:p>
        </w:tc>
        <w:tc>
          <w:tcPr>
            <w:tcW w:type="dxa" w:w="1234"/>
          </w:tcPr>
          <w:p>
            <w:r>
              <w:t>49.02%</w:t>
            </w:r>
          </w:p>
        </w:tc>
        <w:tc>
          <w:tcPr>
            <w:tcW w:type="dxa" w:w="1234"/>
          </w:tcPr>
          <w:p>
            <w:r>
              <w:t>3488</w:t>
            </w:r>
          </w:p>
        </w:tc>
      </w:tr>
      <w:tr>
        <w:tc>
          <w:tcPr>
            <w:tcW w:type="dxa" w:w="1234"/>
          </w:tcPr>
          <w:p>
            <w:r>
              <w:t>2</w:t>
            </w:r>
          </w:p>
        </w:tc>
        <w:tc>
          <w:tcPr>
            <w:tcW w:type="dxa" w:w="1234"/>
          </w:tcPr>
          <w:p>
            <w:r>
              <w:t>27.75%</w:t>
            </w:r>
          </w:p>
        </w:tc>
        <w:tc>
          <w:tcPr>
            <w:tcW w:type="dxa" w:w="1234"/>
          </w:tcPr>
          <w:p>
            <w:r>
              <w:t>58.61%</w:t>
            </w:r>
          </w:p>
        </w:tc>
        <w:tc>
          <w:tcPr>
            <w:tcW w:type="dxa" w:w="1234"/>
          </w:tcPr>
          <w:p>
            <w:r>
              <w:t>27.16%</w:t>
            </w:r>
          </w:p>
        </w:tc>
        <w:tc>
          <w:tcPr>
            <w:tcW w:type="dxa" w:w="1234"/>
          </w:tcPr>
          <w:p>
            <w:r>
              <w:t>41.39%</w:t>
            </w:r>
          </w:p>
        </w:tc>
        <w:tc>
          <w:tcPr>
            <w:tcW w:type="dxa" w:w="1234"/>
          </w:tcPr>
          <w:p>
            <w:r>
              <w:t>27.51%</w:t>
            </w:r>
          </w:p>
        </w:tc>
        <w:tc>
          <w:tcPr>
            <w:tcW w:type="dxa" w:w="1234"/>
          </w:tcPr>
          <w:p>
            <w:r>
              <w:t>1957</w:t>
            </w:r>
          </w:p>
        </w:tc>
      </w:tr>
      <w:tr>
        <w:tc>
          <w:tcPr>
            <w:tcW w:type="dxa" w:w="1234"/>
          </w:tcPr>
          <w:p>
            <w:r>
              <w:t>3</w:t>
            </w:r>
          </w:p>
        </w:tc>
        <w:tc>
          <w:tcPr>
            <w:tcW w:type="dxa" w:w="1234"/>
          </w:tcPr>
          <w:p>
            <w:r>
              <w:t>0.80%</w:t>
            </w:r>
          </w:p>
        </w:tc>
        <w:tc>
          <w:tcPr>
            <w:tcW w:type="dxa" w:w="1234"/>
          </w:tcPr>
          <w:p>
            <w:r>
              <w:t>41.25%</w:t>
            </w:r>
          </w:p>
        </w:tc>
        <w:tc>
          <w:tcPr>
            <w:tcW w:type="dxa" w:w="1234"/>
          </w:tcPr>
          <w:p>
            <w:r>
              <w:t>1.58%</w:t>
            </w:r>
          </w:p>
        </w:tc>
        <w:tc>
          <w:tcPr>
            <w:tcW w:type="dxa" w:w="1234"/>
          </w:tcPr>
          <w:p>
            <w:r>
              <w:t>58.75%</w:t>
            </w:r>
          </w:p>
        </w:tc>
        <w:tc>
          <w:tcPr>
            <w:tcW w:type="dxa" w:w="1234"/>
          </w:tcPr>
          <w:p>
            <w:r>
              <w:t>1.12%</w:t>
            </w:r>
          </w:p>
        </w:tc>
        <w:tc>
          <w:tcPr>
            <w:tcW w:type="dxa" w:w="1234"/>
          </w:tcPr>
          <w:p>
            <w:r>
              <w:t>80</w:t>
            </w:r>
          </w:p>
        </w:tc>
      </w:tr>
      <w:tr>
        <w:tc>
          <w:tcPr>
            <w:tcW w:type="dxa" w:w="1234"/>
          </w:tcPr>
          <w:p>
            <w:r>
              <w:t>4</w:t>
            </w:r>
          </w:p>
        </w:tc>
        <w:tc>
          <w:tcPr>
            <w:tcW w:type="dxa" w:w="1234"/>
          </w:tcPr>
          <w:p>
            <w:r>
              <w:t>4.16%</w:t>
            </w:r>
          </w:p>
        </w:tc>
        <w:tc>
          <w:tcPr>
            <w:tcW w:type="dxa" w:w="1234"/>
          </w:tcPr>
          <w:p>
            <w:r>
              <w:t>60.35%</w:t>
            </w:r>
          </w:p>
        </w:tc>
        <w:tc>
          <w:tcPr>
            <w:tcW w:type="dxa" w:w="1234"/>
          </w:tcPr>
          <w:p>
            <w:r>
              <w:t>3.79%</w:t>
            </w:r>
          </w:p>
        </w:tc>
        <w:tc>
          <w:tcPr>
            <w:tcW w:type="dxa" w:w="1234"/>
          </w:tcPr>
          <w:p>
            <w:r>
              <w:t>39.65%</w:t>
            </w:r>
          </w:p>
        </w:tc>
        <w:tc>
          <w:tcPr>
            <w:tcW w:type="dxa" w:w="1234"/>
          </w:tcPr>
          <w:p>
            <w:r>
              <w:t>4.01%</w:t>
            </w:r>
          </w:p>
        </w:tc>
        <w:tc>
          <w:tcPr>
            <w:tcW w:type="dxa" w:w="1234"/>
          </w:tcPr>
          <w:p>
            <w:r>
              <w:t>285</w:t>
            </w:r>
          </w:p>
        </w:tc>
      </w:tr>
      <w:tr>
        <w:tc>
          <w:tcPr>
            <w:tcW w:type="dxa" w:w="1234"/>
          </w:tcPr>
          <w:p>
            <w:r>
              <w:t>5</w:t>
            </w:r>
          </w:p>
        </w:tc>
        <w:tc>
          <w:tcPr>
            <w:tcW w:type="dxa" w:w="1234"/>
          </w:tcPr>
          <w:p>
            <w:r>
              <w:t>6.80%</w:t>
            </w:r>
          </w:p>
        </w:tc>
        <w:tc>
          <w:tcPr>
            <w:tcW w:type="dxa" w:w="1234"/>
          </w:tcPr>
          <w:p>
            <w:r>
              <w:t>47.07%</w:t>
            </w:r>
          </w:p>
        </w:tc>
        <w:tc>
          <w:tcPr>
            <w:tcW w:type="dxa" w:w="1234"/>
          </w:tcPr>
          <w:p>
            <w:r>
              <w:t>10.60%</w:t>
            </w:r>
          </w:p>
        </w:tc>
        <w:tc>
          <w:tcPr>
            <w:tcW w:type="dxa" w:w="1234"/>
          </w:tcPr>
          <w:p>
            <w:r>
              <w:t>52.93%</w:t>
            </w:r>
          </w:p>
        </w:tc>
        <w:tc>
          <w:tcPr>
            <w:tcW w:type="dxa" w:w="1234"/>
          </w:tcPr>
          <w:p>
            <w:r>
              <w:t>8.39%</w:t>
            </w:r>
          </w:p>
        </w:tc>
        <w:tc>
          <w:tcPr>
            <w:tcW w:type="dxa" w:w="1234"/>
          </w:tcPr>
          <w:p>
            <w:r>
              <w:t>597</w:t>
            </w:r>
          </w:p>
        </w:tc>
      </w:tr>
      <w:tr>
        <w:tc>
          <w:tcPr>
            <w:tcW w:type="dxa" w:w="1234"/>
          </w:tcPr>
          <w:p>
            <w:r>
              <w:t>6</w:t>
            </w:r>
          </w:p>
        </w:tc>
        <w:tc>
          <w:tcPr>
            <w:tcW w:type="dxa" w:w="1234"/>
          </w:tcPr>
          <w:p>
            <w:r>
              <w:t>10.55%</w:t>
            </w:r>
          </w:p>
        </w:tc>
        <w:tc>
          <w:tcPr>
            <w:tcW w:type="dxa" w:w="1234"/>
          </w:tcPr>
          <w:p>
            <w:r>
              <w:t>63.19%</w:t>
            </w:r>
          </w:p>
        </w:tc>
        <w:tc>
          <w:tcPr>
            <w:tcW w:type="dxa" w:w="1234"/>
          </w:tcPr>
          <w:p>
            <w:r>
              <w:t>8.52%</w:t>
            </w:r>
          </w:p>
        </w:tc>
        <w:tc>
          <w:tcPr>
            <w:tcW w:type="dxa" w:w="1234"/>
          </w:tcPr>
          <w:p>
            <w:r>
              <w:t>36.81%</w:t>
            </w:r>
          </w:p>
        </w:tc>
        <w:tc>
          <w:tcPr>
            <w:tcW w:type="dxa" w:w="1234"/>
          </w:tcPr>
          <w:p>
            <w:r>
              <w:t>9.70%</w:t>
            </w:r>
          </w:p>
        </w:tc>
        <w:tc>
          <w:tcPr>
            <w:tcW w:type="dxa" w:w="1234"/>
          </w:tcPr>
          <w:p>
            <w:r>
              <w:t>690</w:t>
            </w:r>
          </w:p>
        </w:tc>
      </w:tr>
      <w:tr>
        <w:tc>
          <w:tcPr>
            <w:tcW w:type="dxa" w:w="1234"/>
          </w:tcPr>
          <w:p>
            <w:r>
              <w:t>7</w:t>
            </w:r>
          </w:p>
        </w:tc>
        <w:tc>
          <w:tcPr>
            <w:tcW w:type="dxa" w:w="1234"/>
          </w:tcPr>
          <w:p>
            <w:r>
              <w:t>0.00%</w:t>
            </w:r>
          </w:p>
        </w:tc>
        <w:tc>
          <w:tcPr>
            <w:tcW w:type="dxa" w:w="1234"/>
          </w:tcPr>
          <w:p>
            <w:r>
              <w:t>0.00%</w:t>
            </w:r>
          </w:p>
        </w:tc>
        <w:tc>
          <w:tcPr>
            <w:tcW w:type="dxa" w:w="1234"/>
          </w:tcPr>
          <w:p>
            <w:r>
              <w:t>0.60%</w:t>
            </w:r>
          </w:p>
        </w:tc>
        <w:tc>
          <w:tcPr>
            <w:tcW w:type="dxa" w:w="1234"/>
          </w:tcPr>
          <w:p>
            <w:r>
              <w:t>100.00%</w:t>
            </w:r>
          </w:p>
        </w:tc>
        <w:tc>
          <w:tcPr>
            <w:tcW w:type="dxa" w:w="1234"/>
          </w:tcPr>
          <w:p>
            <w:r>
              <w:t>0.25%</w:t>
            </w:r>
          </w:p>
        </w:tc>
        <w:tc>
          <w:tcPr>
            <w:tcW w:type="dxa" w:w="1234"/>
          </w:tcPr>
          <w:p>
            <w:r>
              <w:t>18</w:t>
            </w:r>
          </w:p>
        </w:tc>
      </w:tr>
      <w:tr>
        <w:tc>
          <w:tcPr>
            <w:tcW w:type="dxa" w:w="1234"/>
          </w:tcPr>
          <w:p>
            <w:r>
              <w:t>Total</w:t>
            </w:r>
          </w:p>
        </w:tc>
        <w:tc>
          <w:tcPr>
            <w:tcW w:type="dxa" w:w="1234"/>
          </w:tcPr>
          <w:p>
            <w:r>
              <w:t>100%</w:t>
            </w:r>
          </w:p>
        </w:tc>
        <w:tc>
          <w:tcPr>
            <w:tcW w:type="dxa" w:w="1234"/>
          </w:tcPr>
          <w:p>
            <w:r>
              <w:t>58.09%</w:t>
            </w:r>
          </w:p>
        </w:tc>
        <w:tc>
          <w:tcPr>
            <w:tcW w:type="dxa" w:w="1234"/>
          </w:tcPr>
          <w:p>
            <w:r>
              <w:t>100%</w:t>
            </w:r>
          </w:p>
        </w:tc>
        <w:tc>
          <w:tcPr>
            <w:tcW w:type="dxa" w:w="1234"/>
          </w:tcPr>
          <w:p>
            <w:r>
              <w:t>41.91%</w:t>
            </w:r>
          </w:p>
        </w:tc>
        <w:tc>
          <w:tcPr>
            <w:tcW w:type="dxa" w:w="1234"/>
          </w:tcPr>
          <w:p>
            <w:r>
              <w:t>100%</w:t>
            </w:r>
          </w:p>
        </w:tc>
        <w:tc>
          <w:tcPr>
            <w:tcW w:type="dxa" w:w="1234"/>
          </w:tcPr>
          <w:p>
            <w:r>
              <w:t>7115</w:t>
            </w:r>
          </w:p>
        </w:tc>
      </w:tr>
    </w:tbl>
    <w:p/>
    <w:p>
      <w:pPr>
        <w:pStyle w:val="Heading2"/>
      </w:pPr>
      <w:r>
        <w:t>Análisis descriptivo (genero_periodista)</w:t>
      </w:r>
    </w:p>
    <w:p>
      <w:r>
        <w:t>Los análisis de la tabla de contingencia revelan dinámicas significativas y cambios de proporción entre los periodos de 2017-2021 y el año 2024, sugiriendo una reestructuración notable en el perfil de los periodistas analizados. A nivel general, se observa una contracción en la representación proporcional de la muestra total, pasando de ser más de la mitad de la población en el periodo histórico (58.09%) a representar menos de la mitad en 2024 (41.91%). El dato más llamativo es la aparición completa y exclusiva de la categoría 'Genero periodista 7', la cual no presenta ninguna frecuencia en el periodo 2017-2021, pero constituye el 100% de su representación en 2024. Este fenómeno requiere una investigación cualitativa adicional, ya que señala la emergencia de un segmento categórico previamente invisible o no registrado en el periodo analizado.</w:t>
        <w:br/>
        <w:br/>
        <w:t>En cuanto a los componentes dominantes, las categorías 1 y 2 mantienen su peso estructural, representando consistentemente más de la mitad de su participación en ambos periodos. Sin embargo, su peso relativo ha disminuido proporcionalmente. Mientras que la categoría 1 pasó de representar el 59.17% del total histórico, solo aporta el 40.83% en 2024. Similarmente, las categorías 1 y 2 han sido los motores del contenido en el periodo 2017-2021, lo que indica que, aunque siguen siendo los grupos mayoritarios, su influencia ha sido reequilibrada por las dinámicas de cambio detectadas en 2024, particularmente por la inclusión total de la categoría 7 y las variaciones en otros segmentos.</w:t>
      </w:r>
    </w:p>
    <w:p>
      <w:r>
        <w:br w:type="page"/>
      </w:r>
    </w:p>
    <w:p>
      <w:pPr>
        <w:pStyle w:val="Heading1"/>
      </w:pPr>
      <w:r>
        <w:t>Distribución: Tema recodificado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Tema recodificado</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w:t>
            </w:r>
          </w:p>
        </w:tc>
        <w:tc>
          <w:tcPr>
            <w:tcW w:type="dxa" w:w="1234"/>
          </w:tcPr>
          <w:p>
            <w:r>
              <w:t>11.06%</w:t>
            </w:r>
          </w:p>
        </w:tc>
        <w:tc>
          <w:tcPr>
            <w:tcW w:type="dxa" w:w="1234"/>
          </w:tcPr>
          <w:p>
            <w:r>
              <w:t>77.85%</w:t>
            </w:r>
          </w:p>
        </w:tc>
        <w:tc>
          <w:tcPr>
            <w:tcW w:type="dxa" w:w="1234"/>
          </w:tcPr>
          <w:p>
            <w:r>
              <w:t>4.36%</w:t>
            </w:r>
          </w:p>
        </w:tc>
        <w:tc>
          <w:tcPr>
            <w:tcW w:type="dxa" w:w="1234"/>
          </w:tcPr>
          <w:p>
            <w:r>
              <w:t>22.15%</w:t>
            </w:r>
          </w:p>
        </w:tc>
        <w:tc>
          <w:tcPr>
            <w:tcW w:type="dxa" w:w="1234"/>
          </w:tcPr>
          <w:p>
            <w:r>
              <w:t>8.25%</w:t>
            </w:r>
          </w:p>
        </w:tc>
        <w:tc>
          <w:tcPr>
            <w:tcW w:type="dxa" w:w="1234"/>
          </w:tcPr>
          <w:p>
            <w:r>
              <w:t>587</w:t>
            </w:r>
          </w:p>
        </w:tc>
      </w:tr>
      <w:tr>
        <w:tc>
          <w:tcPr>
            <w:tcW w:type="dxa" w:w="1234"/>
          </w:tcPr>
          <w:p>
            <w:r>
              <w:t>2</w:t>
            </w:r>
          </w:p>
        </w:tc>
        <w:tc>
          <w:tcPr>
            <w:tcW w:type="dxa" w:w="1234"/>
          </w:tcPr>
          <w:p>
            <w:r>
              <w:t>13.45%</w:t>
            </w:r>
          </w:p>
        </w:tc>
        <w:tc>
          <w:tcPr>
            <w:tcW w:type="dxa" w:w="1234"/>
          </w:tcPr>
          <w:p>
            <w:r>
              <w:t>80.12%</w:t>
            </w:r>
          </w:p>
        </w:tc>
        <w:tc>
          <w:tcPr>
            <w:tcW w:type="dxa" w:w="1234"/>
          </w:tcPr>
          <w:p>
            <w:r>
              <w:t>4.63%</w:t>
            </w:r>
          </w:p>
        </w:tc>
        <w:tc>
          <w:tcPr>
            <w:tcW w:type="dxa" w:w="1234"/>
          </w:tcPr>
          <w:p>
            <w:r>
              <w:t>19.88%</w:t>
            </w:r>
          </w:p>
        </w:tc>
        <w:tc>
          <w:tcPr>
            <w:tcW w:type="dxa" w:w="1234"/>
          </w:tcPr>
          <w:p>
            <w:r>
              <w:t>9.75%</w:t>
            </w:r>
          </w:p>
        </w:tc>
        <w:tc>
          <w:tcPr>
            <w:tcW w:type="dxa" w:w="1234"/>
          </w:tcPr>
          <w:p>
            <w:r>
              <w:t>694</w:t>
            </w:r>
          </w:p>
        </w:tc>
      </w:tr>
      <w:tr>
        <w:tc>
          <w:tcPr>
            <w:tcW w:type="dxa" w:w="1234"/>
          </w:tcPr>
          <w:p>
            <w:r>
              <w:t>5</w:t>
            </w:r>
          </w:p>
        </w:tc>
        <w:tc>
          <w:tcPr>
            <w:tcW w:type="dxa" w:w="1234"/>
          </w:tcPr>
          <w:p>
            <w:r>
              <w:t>10.19%</w:t>
            </w:r>
          </w:p>
        </w:tc>
        <w:tc>
          <w:tcPr>
            <w:tcW w:type="dxa" w:w="1234"/>
          </w:tcPr>
          <w:p>
            <w:r>
              <w:t>53.22%</w:t>
            </w:r>
          </w:p>
        </w:tc>
        <w:tc>
          <w:tcPr>
            <w:tcW w:type="dxa" w:w="1234"/>
          </w:tcPr>
          <w:p>
            <w:r>
              <w:t>12.41%</w:t>
            </w:r>
          </w:p>
        </w:tc>
        <w:tc>
          <w:tcPr>
            <w:tcW w:type="dxa" w:w="1234"/>
          </w:tcPr>
          <w:p>
            <w:r>
              <w:t>46.78%</w:t>
            </w:r>
          </w:p>
        </w:tc>
        <w:tc>
          <w:tcPr>
            <w:tcW w:type="dxa" w:w="1234"/>
          </w:tcPr>
          <w:p>
            <w:r>
              <w:t>11.12%</w:t>
            </w:r>
          </w:p>
        </w:tc>
        <w:tc>
          <w:tcPr>
            <w:tcW w:type="dxa" w:w="1234"/>
          </w:tcPr>
          <w:p>
            <w:r>
              <w:t>791</w:t>
            </w:r>
          </w:p>
        </w:tc>
      </w:tr>
      <w:tr>
        <w:tc>
          <w:tcPr>
            <w:tcW w:type="dxa" w:w="1234"/>
          </w:tcPr>
          <w:p>
            <w:r>
              <w:t>6</w:t>
            </w:r>
          </w:p>
        </w:tc>
        <w:tc>
          <w:tcPr>
            <w:tcW w:type="dxa" w:w="1234"/>
          </w:tcPr>
          <w:p>
            <w:r>
              <w:t>2.98%</w:t>
            </w:r>
          </w:p>
        </w:tc>
        <w:tc>
          <w:tcPr>
            <w:tcW w:type="dxa" w:w="1234"/>
          </w:tcPr>
          <w:p>
            <w:r>
              <w:t>24.70%</w:t>
            </w:r>
          </w:p>
        </w:tc>
        <w:tc>
          <w:tcPr>
            <w:tcW w:type="dxa" w:w="1234"/>
          </w:tcPr>
          <w:p>
            <w:r>
              <w:t>12.58%</w:t>
            </w:r>
          </w:p>
        </w:tc>
        <w:tc>
          <w:tcPr>
            <w:tcW w:type="dxa" w:w="1234"/>
          </w:tcPr>
          <w:p>
            <w:r>
              <w:t>75.30%</w:t>
            </w:r>
          </w:p>
        </w:tc>
        <w:tc>
          <w:tcPr>
            <w:tcW w:type="dxa" w:w="1234"/>
          </w:tcPr>
          <w:p>
            <w:r>
              <w:t>7.00%</w:t>
            </w:r>
          </w:p>
        </w:tc>
        <w:tc>
          <w:tcPr>
            <w:tcW w:type="dxa" w:w="1234"/>
          </w:tcPr>
          <w:p>
            <w:r>
              <w:t>498</w:t>
            </w:r>
          </w:p>
        </w:tc>
      </w:tr>
      <w:tr>
        <w:tc>
          <w:tcPr>
            <w:tcW w:type="dxa" w:w="1234"/>
          </w:tcPr>
          <w:p>
            <w:r>
              <w:t>8</w:t>
            </w:r>
          </w:p>
        </w:tc>
        <w:tc>
          <w:tcPr>
            <w:tcW w:type="dxa" w:w="1234"/>
          </w:tcPr>
          <w:p>
            <w:r>
              <w:t>17.03%</w:t>
            </w:r>
          </w:p>
        </w:tc>
        <w:tc>
          <w:tcPr>
            <w:tcW w:type="dxa" w:w="1234"/>
          </w:tcPr>
          <w:p>
            <w:r>
              <w:t>73.72%</w:t>
            </w:r>
          </w:p>
        </w:tc>
        <w:tc>
          <w:tcPr>
            <w:tcW w:type="dxa" w:w="1234"/>
          </w:tcPr>
          <w:p>
            <w:r>
              <w:t>8.42%</w:t>
            </w:r>
          </w:p>
        </w:tc>
        <w:tc>
          <w:tcPr>
            <w:tcW w:type="dxa" w:w="1234"/>
          </w:tcPr>
          <w:p>
            <w:r>
              <w:t>26.28%</w:t>
            </w:r>
          </w:p>
        </w:tc>
        <w:tc>
          <w:tcPr>
            <w:tcW w:type="dxa" w:w="1234"/>
          </w:tcPr>
          <w:p>
            <w:r>
              <w:t>13.42%</w:t>
            </w:r>
          </w:p>
        </w:tc>
        <w:tc>
          <w:tcPr>
            <w:tcW w:type="dxa" w:w="1234"/>
          </w:tcPr>
          <w:p>
            <w:r>
              <w:t>955</w:t>
            </w:r>
          </w:p>
        </w:tc>
      </w:tr>
      <w:tr>
        <w:tc>
          <w:tcPr>
            <w:tcW w:type="dxa" w:w="1234"/>
          </w:tcPr>
          <w:p>
            <w:r>
              <w:t>12</w:t>
            </w:r>
          </w:p>
        </w:tc>
        <w:tc>
          <w:tcPr>
            <w:tcW w:type="dxa" w:w="1234"/>
          </w:tcPr>
          <w:p>
            <w:r>
              <w:t>5.88%</w:t>
            </w:r>
          </w:p>
        </w:tc>
        <w:tc>
          <w:tcPr>
            <w:tcW w:type="dxa" w:w="1234"/>
          </w:tcPr>
          <w:p>
            <w:r>
              <w:t>39.84%</w:t>
            </w:r>
          </w:p>
        </w:tc>
        <w:tc>
          <w:tcPr>
            <w:tcW w:type="dxa" w:w="1234"/>
          </w:tcPr>
          <w:p>
            <w:r>
              <w:t>12.31%</w:t>
            </w:r>
          </w:p>
        </w:tc>
        <w:tc>
          <w:tcPr>
            <w:tcW w:type="dxa" w:w="1234"/>
          </w:tcPr>
          <w:p>
            <w:r>
              <w:t>60.16%</w:t>
            </w:r>
          </w:p>
        </w:tc>
        <w:tc>
          <w:tcPr>
            <w:tcW w:type="dxa" w:w="1234"/>
          </w:tcPr>
          <w:p>
            <w:r>
              <w:t>8.57%</w:t>
            </w:r>
          </w:p>
        </w:tc>
        <w:tc>
          <w:tcPr>
            <w:tcW w:type="dxa" w:w="1234"/>
          </w:tcPr>
          <w:p>
            <w:r>
              <w:t>610</w:t>
            </w:r>
          </w:p>
        </w:tc>
      </w:tr>
      <w:tr>
        <w:tc>
          <w:tcPr>
            <w:tcW w:type="dxa" w:w="1234"/>
          </w:tcPr>
          <w:p>
            <w:r>
              <w:t>15</w:t>
            </w:r>
          </w:p>
        </w:tc>
        <w:tc>
          <w:tcPr>
            <w:tcW w:type="dxa" w:w="1234"/>
          </w:tcPr>
          <w:p>
            <w:r>
              <w:t>36.03%</w:t>
            </w:r>
          </w:p>
        </w:tc>
        <w:tc>
          <w:tcPr>
            <w:tcW w:type="dxa" w:w="1234"/>
          </w:tcPr>
          <w:p>
            <w:r>
              <w:t>68.74%</w:t>
            </w:r>
          </w:p>
        </w:tc>
        <w:tc>
          <w:tcPr>
            <w:tcW w:type="dxa" w:w="1234"/>
          </w:tcPr>
          <w:p>
            <w:r>
              <w:t>22.70%</w:t>
            </w:r>
          </w:p>
        </w:tc>
        <w:tc>
          <w:tcPr>
            <w:tcW w:type="dxa" w:w="1234"/>
          </w:tcPr>
          <w:p>
            <w:r>
              <w:t>31.26%</w:t>
            </w:r>
          </w:p>
        </w:tc>
        <w:tc>
          <w:tcPr>
            <w:tcW w:type="dxa" w:w="1234"/>
          </w:tcPr>
          <w:p>
            <w:r>
              <w:t>30.44%</w:t>
            </w:r>
          </w:p>
        </w:tc>
        <w:tc>
          <w:tcPr>
            <w:tcW w:type="dxa" w:w="1234"/>
          </w:tcPr>
          <w:p>
            <w:r>
              <w:t>2166</w:t>
            </w:r>
          </w:p>
        </w:tc>
      </w:tr>
      <w:tr>
        <w:tc>
          <w:tcPr>
            <w:tcW w:type="dxa" w:w="1234"/>
          </w:tcPr>
          <w:p>
            <w:r>
              <w:t>17</w:t>
            </w:r>
          </w:p>
        </w:tc>
        <w:tc>
          <w:tcPr>
            <w:tcW w:type="dxa" w:w="1234"/>
          </w:tcPr>
          <w:p>
            <w:r>
              <w:t>3.39%</w:t>
            </w:r>
          </w:p>
        </w:tc>
        <w:tc>
          <w:tcPr>
            <w:tcW w:type="dxa" w:w="1234"/>
          </w:tcPr>
          <w:p>
            <w:r>
              <w:t>17.20%</w:t>
            </w:r>
          </w:p>
        </w:tc>
        <w:tc>
          <w:tcPr>
            <w:tcW w:type="dxa" w:w="1234"/>
          </w:tcPr>
          <w:p>
            <w:r>
              <w:t>22.60%</w:t>
            </w:r>
          </w:p>
        </w:tc>
        <w:tc>
          <w:tcPr>
            <w:tcW w:type="dxa" w:w="1234"/>
          </w:tcPr>
          <w:p>
            <w:r>
              <w:t>82.80%</w:t>
            </w:r>
          </w:p>
        </w:tc>
        <w:tc>
          <w:tcPr>
            <w:tcW w:type="dxa" w:w="1234"/>
          </w:tcPr>
          <w:p>
            <w:r>
              <w:t>11.44%</w:t>
            </w:r>
          </w:p>
        </w:tc>
        <w:tc>
          <w:tcPr>
            <w:tcW w:type="dxa" w:w="1234"/>
          </w:tcPr>
          <w:p>
            <w:r>
              <w:t>814</w:t>
            </w:r>
          </w:p>
        </w:tc>
      </w:tr>
      <w:tr>
        <w:tc>
          <w:tcPr>
            <w:tcW w:type="dxa" w:w="1234"/>
          </w:tcPr>
          <w:p>
            <w:r>
              <w:t>Total</w:t>
            </w:r>
          </w:p>
        </w:tc>
        <w:tc>
          <w:tcPr>
            <w:tcW w:type="dxa" w:w="1234"/>
          </w:tcPr>
          <w:p>
            <w:r>
              <w:t>100%</w:t>
            </w:r>
          </w:p>
        </w:tc>
        <w:tc>
          <w:tcPr>
            <w:tcW w:type="dxa" w:w="1234"/>
          </w:tcPr>
          <w:p>
            <w:r>
              <w:t>58.09%</w:t>
            </w:r>
          </w:p>
        </w:tc>
        <w:tc>
          <w:tcPr>
            <w:tcW w:type="dxa" w:w="1234"/>
          </w:tcPr>
          <w:p>
            <w:r>
              <w:t>100%</w:t>
            </w:r>
          </w:p>
        </w:tc>
        <w:tc>
          <w:tcPr>
            <w:tcW w:type="dxa" w:w="1234"/>
          </w:tcPr>
          <w:p>
            <w:r>
              <w:t>41.91%</w:t>
            </w:r>
          </w:p>
        </w:tc>
        <w:tc>
          <w:tcPr>
            <w:tcW w:type="dxa" w:w="1234"/>
          </w:tcPr>
          <w:p>
            <w:r>
              <w:t>100%</w:t>
            </w:r>
          </w:p>
        </w:tc>
        <w:tc>
          <w:tcPr>
            <w:tcW w:type="dxa" w:w="1234"/>
          </w:tcPr>
          <w:p>
            <w:r>
              <w:t>7115</w:t>
            </w:r>
          </w:p>
        </w:tc>
      </w:tr>
    </w:tbl>
    <w:p/>
    <w:p>
      <w:pPr>
        <w:pStyle w:val="Heading2"/>
      </w:pPr>
      <w:r>
        <w:t>Análisis descriptivo (Tema_recodificado)</w:t>
      </w:r>
    </w:p>
    <w:p>
      <w:r>
        <w:t>El análisis de la tabla de contingencia revela una clara dinámica de reasignación temática entre los periodos estudiados, sugiriendo un cambio en el foco de atención o en las problemáticas subyacentes. Si bien temas estructuralmente importantes como el 15 (30.44% en total) y el 8 (13.42% en total) mantienen una persistencia notable en la conversación colectiva, su peso proporcional disminuye en 2024 en comparación con el periodo anterior (2017-2021). Este descenso no implica una pérdida de relevancia absoluta, sino una notable divergencia en la distribución, lo que obliga a identificar nuevos ejes de tensión.</w:t>
        <w:br/>
        <w:br/>
        <w:t>La tendencia más destacable es la emergencia y el aumento significativo de la visibilidad de ciertos temas. Específicamente, el Tema 17 experimenta el salto más dramático, pasando de representar solo el 17.20% de las menciones en el periodo histórico a alcanzar un 22.60% en 2024. Este crecimiento es complementado por el Tema 12, cuya participación se incrementa sustancialmente del 39.84% al 60.16% en 2024, y el Tema 6, que muestra un notable aumento de la prominencia. Estos tres temas (17, 12 y 6) no solo ganan peso relativo en el tiempo más reciente, sino que su conjunto de resiliencia sugiere que la preocupación social se está reorientando hacia nuevos ejes temáticos que requieren un análisis más profundo en relación con los fenómenos contemporáneos.</w:t>
      </w:r>
    </w:p>
    <w:p>
      <w:r>
        <w:br w:type="page"/>
      </w:r>
    </w:p>
    <w:p>
      <w:pPr>
        <w:pStyle w:val="Heading1"/>
      </w:pPr>
      <w:r>
        <w:t>Distribución: No tema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No tema</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w:t>
            </w:r>
          </w:p>
        </w:tc>
        <w:tc>
          <w:tcPr>
            <w:tcW w:type="dxa" w:w="1234"/>
          </w:tcPr>
          <w:p>
            <w:r>
              <w:t>11.06%</w:t>
            </w:r>
          </w:p>
        </w:tc>
        <w:tc>
          <w:tcPr>
            <w:tcW w:type="dxa" w:w="1234"/>
          </w:tcPr>
          <w:p>
            <w:r>
              <w:t>77.85%</w:t>
            </w:r>
          </w:p>
        </w:tc>
        <w:tc>
          <w:tcPr>
            <w:tcW w:type="dxa" w:w="1234"/>
          </w:tcPr>
          <w:p>
            <w:r>
              <w:t>4.36%</w:t>
            </w:r>
          </w:p>
        </w:tc>
        <w:tc>
          <w:tcPr>
            <w:tcW w:type="dxa" w:w="1234"/>
          </w:tcPr>
          <w:p>
            <w:r>
              <w:t>22.15%</w:t>
            </w:r>
          </w:p>
        </w:tc>
        <w:tc>
          <w:tcPr>
            <w:tcW w:type="dxa" w:w="1234"/>
          </w:tcPr>
          <w:p>
            <w:r>
              <w:t>8.25%</w:t>
            </w:r>
          </w:p>
        </w:tc>
        <w:tc>
          <w:tcPr>
            <w:tcW w:type="dxa" w:w="1234"/>
          </w:tcPr>
          <w:p>
            <w:r>
              <w:t>587</w:t>
            </w:r>
          </w:p>
        </w:tc>
      </w:tr>
      <w:tr>
        <w:tc>
          <w:tcPr>
            <w:tcW w:type="dxa" w:w="1234"/>
          </w:tcPr>
          <w:p>
            <w:r>
              <w:t>2</w:t>
            </w:r>
          </w:p>
        </w:tc>
        <w:tc>
          <w:tcPr>
            <w:tcW w:type="dxa" w:w="1234"/>
          </w:tcPr>
          <w:p>
            <w:r>
              <w:t>13.45%</w:t>
            </w:r>
          </w:p>
        </w:tc>
        <w:tc>
          <w:tcPr>
            <w:tcW w:type="dxa" w:w="1234"/>
          </w:tcPr>
          <w:p>
            <w:r>
              <w:t>80.12%</w:t>
            </w:r>
          </w:p>
        </w:tc>
        <w:tc>
          <w:tcPr>
            <w:tcW w:type="dxa" w:w="1234"/>
          </w:tcPr>
          <w:p>
            <w:r>
              <w:t>4.63%</w:t>
            </w:r>
          </w:p>
        </w:tc>
        <w:tc>
          <w:tcPr>
            <w:tcW w:type="dxa" w:w="1234"/>
          </w:tcPr>
          <w:p>
            <w:r>
              <w:t>19.88%</w:t>
            </w:r>
          </w:p>
        </w:tc>
        <w:tc>
          <w:tcPr>
            <w:tcW w:type="dxa" w:w="1234"/>
          </w:tcPr>
          <w:p>
            <w:r>
              <w:t>9.75%</w:t>
            </w:r>
          </w:p>
        </w:tc>
        <w:tc>
          <w:tcPr>
            <w:tcW w:type="dxa" w:w="1234"/>
          </w:tcPr>
          <w:p>
            <w:r>
              <w:t>694</w:t>
            </w:r>
          </w:p>
        </w:tc>
      </w:tr>
      <w:tr>
        <w:tc>
          <w:tcPr>
            <w:tcW w:type="dxa" w:w="1234"/>
          </w:tcPr>
          <w:p>
            <w:r>
              <w:t>3</w:t>
            </w:r>
          </w:p>
        </w:tc>
        <w:tc>
          <w:tcPr>
            <w:tcW w:type="dxa" w:w="1234"/>
          </w:tcPr>
          <w:p>
            <w:r>
              <w:t>0.00%</w:t>
            </w:r>
          </w:p>
        </w:tc>
        <w:tc>
          <w:tcPr>
            <w:tcW w:type="dxa" w:w="1234"/>
          </w:tcPr>
          <w:p>
            <w:r>
              <w:t>0.00%</w:t>
            </w:r>
          </w:p>
        </w:tc>
        <w:tc>
          <w:tcPr>
            <w:tcW w:type="dxa" w:w="1234"/>
          </w:tcPr>
          <w:p>
            <w:r>
              <w:t>2.75%</w:t>
            </w:r>
          </w:p>
        </w:tc>
        <w:tc>
          <w:tcPr>
            <w:tcW w:type="dxa" w:w="1234"/>
          </w:tcPr>
          <w:p>
            <w:r>
              <w:t>100.00%</w:t>
            </w:r>
          </w:p>
        </w:tc>
        <w:tc>
          <w:tcPr>
            <w:tcW w:type="dxa" w:w="1234"/>
          </w:tcPr>
          <w:p>
            <w:r>
              <w:t>1.15%</w:t>
            </w:r>
          </w:p>
        </w:tc>
        <w:tc>
          <w:tcPr>
            <w:tcW w:type="dxa" w:w="1234"/>
          </w:tcPr>
          <w:p>
            <w:r>
              <w:t>82</w:t>
            </w:r>
          </w:p>
        </w:tc>
      </w:tr>
      <w:tr>
        <w:tc>
          <w:tcPr>
            <w:tcW w:type="dxa" w:w="1234"/>
          </w:tcPr>
          <w:p>
            <w:r>
              <w:t>4</w:t>
            </w:r>
          </w:p>
        </w:tc>
        <w:tc>
          <w:tcPr>
            <w:tcW w:type="dxa" w:w="1234"/>
          </w:tcPr>
          <w:p>
            <w:r>
              <w:t>0.00%</w:t>
            </w:r>
          </w:p>
        </w:tc>
        <w:tc>
          <w:tcPr>
            <w:tcW w:type="dxa" w:w="1234"/>
          </w:tcPr>
          <w:p>
            <w:r>
              <w:t>0.00%</w:t>
            </w:r>
          </w:p>
        </w:tc>
        <w:tc>
          <w:tcPr>
            <w:tcW w:type="dxa" w:w="1234"/>
          </w:tcPr>
          <w:p>
            <w:r>
              <w:t>2.15%</w:t>
            </w:r>
          </w:p>
        </w:tc>
        <w:tc>
          <w:tcPr>
            <w:tcW w:type="dxa" w:w="1234"/>
          </w:tcPr>
          <w:p>
            <w:r>
              <w:t>100.00%</w:t>
            </w:r>
          </w:p>
        </w:tc>
        <w:tc>
          <w:tcPr>
            <w:tcW w:type="dxa" w:w="1234"/>
          </w:tcPr>
          <w:p>
            <w:r>
              <w:t>0.90%</w:t>
            </w:r>
          </w:p>
        </w:tc>
        <w:tc>
          <w:tcPr>
            <w:tcW w:type="dxa" w:w="1234"/>
          </w:tcPr>
          <w:p>
            <w:r>
              <w:t>64</w:t>
            </w:r>
          </w:p>
        </w:tc>
      </w:tr>
      <w:tr>
        <w:tc>
          <w:tcPr>
            <w:tcW w:type="dxa" w:w="1234"/>
          </w:tcPr>
          <w:p>
            <w:r>
              <w:t>5</w:t>
            </w:r>
          </w:p>
        </w:tc>
        <w:tc>
          <w:tcPr>
            <w:tcW w:type="dxa" w:w="1234"/>
          </w:tcPr>
          <w:p>
            <w:r>
              <w:t>10.19%</w:t>
            </w:r>
          </w:p>
        </w:tc>
        <w:tc>
          <w:tcPr>
            <w:tcW w:type="dxa" w:w="1234"/>
          </w:tcPr>
          <w:p>
            <w:r>
              <w:t>53.22%</w:t>
            </w:r>
          </w:p>
        </w:tc>
        <w:tc>
          <w:tcPr>
            <w:tcW w:type="dxa" w:w="1234"/>
          </w:tcPr>
          <w:p>
            <w:r>
              <w:t>12.41%</w:t>
            </w:r>
          </w:p>
        </w:tc>
        <w:tc>
          <w:tcPr>
            <w:tcW w:type="dxa" w:w="1234"/>
          </w:tcPr>
          <w:p>
            <w:r>
              <w:t>46.78%</w:t>
            </w:r>
          </w:p>
        </w:tc>
        <w:tc>
          <w:tcPr>
            <w:tcW w:type="dxa" w:w="1234"/>
          </w:tcPr>
          <w:p>
            <w:r>
              <w:t>11.12%</w:t>
            </w:r>
          </w:p>
        </w:tc>
        <w:tc>
          <w:tcPr>
            <w:tcW w:type="dxa" w:w="1234"/>
          </w:tcPr>
          <w:p>
            <w:r>
              <w:t>791</w:t>
            </w:r>
          </w:p>
        </w:tc>
      </w:tr>
      <w:tr>
        <w:tc>
          <w:tcPr>
            <w:tcW w:type="dxa" w:w="1234"/>
          </w:tcPr>
          <w:p>
            <w:r>
              <w:t>6</w:t>
            </w:r>
          </w:p>
        </w:tc>
        <w:tc>
          <w:tcPr>
            <w:tcW w:type="dxa" w:w="1234"/>
          </w:tcPr>
          <w:p>
            <w:r>
              <w:t>2.98%</w:t>
            </w:r>
          </w:p>
        </w:tc>
        <w:tc>
          <w:tcPr>
            <w:tcW w:type="dxa" w:w="1234"/>
          </w:tcPr>
          <w:p>
            <w:r>
              <w:t>24.70%</w:t>
            </w:r>
          </w:p>
        </w:tc>
        <w:tc>
          <w:tcPr>
            <w:tcW w:type="dxa" w:w="1234"/>
          </w:tcPr>
          <w:p>
            <w:r>
              <w:t>12.58%</w:t>
            </w:r>
          </w:p>
        </w:tc>
        <w:tc>
          <w:tcPr>
            <w:tcW w:type="dxa" w:w="1234"/>
          </w:tcPr>
          <w:p>
            <w:r>
              <w:t>75.30%</w:t>
            </w:r>
          </w:p>
        </w:tc>
        <w:tc>
          <w:tcPr>
            <w:tcW w:type="dxa" w:w="1234"/>
          </w:tcPr>
          <w:p>
            <w:r>
              <w:t>7.00%</w:t>
            </w:r>
          </w:p>
        </w:tc>
        <w:tc>
          <w:tcPr>
            <w:tcW w:type="dxa" w:w="1234"/>
          </w:tcPr>
          <w:p>
            <w:r>
              <w:t>498</w:t>
            </w:r>
          </w:p>
        </w:tc>
      </w:tr>
      <w:tr>
        <w:tc>
          <w:tcPr>
            <w:tcW w:type="dxa" w:w="1234"/>
          </w:tcPr>
          <w:p>
            <w:r>
              <w:t>7</w:t>
            </w:r>
          </w:p>
        </w:tc>
        <w:tc>
          <w:tcPr>
            <w:tcW w:type="dxa" w:w="1234"/>
          </w:tcPr>
          <w:p>
            <w:r>
              <w:t>0.00%</w:t>
            </w:r>
          </w:p>
        </w:tc>
        <w:tc>
          <w:tcPr>
            <w:tcW w:type="dxa" w:w="1234"/>
          </w:tcPr>
          <w:p>
            <w:r>
              <w:t>0.00%</w:t>
            </w:r>
          </w:p>
        </w:tc>
        <w:tc>
          <w:tcPr>
            <w:tcW w:type="dxa" w:w="1234"/>
          </w:tcPr>
          <w:p>
            <w:r>
              <w:t>2.62%</w:t>
            </w:r>
          </w:p>
        </w:tc>
        <w:tc>
          <w:tcPr>
            <w:tcW w:type="dxa" w:w="1234"/>
          </w:tcPr>
          <w:p>
            <w:r>
              <w:t>100.00%</w:t>
            </w:r>
          </w:p>
        </w:tc>
        <w:tc>
          <w:tcPr>
            <w:tcW w:type="dxa" w:w="1234"/>
          </w:tcPr>
          <w:p>
            <w:r>
              <w:t>1.10%</w:t>
            </w:r>
          </w:p>
        </w:tc>
        <w:tc>
          <w:tcPr>
            <w:tcW w:type="dxa" w:w="1234"/>
          </w:tcPr>
          <w:p>
            <w:r>
              <w:t>78</w:t>
            </w:r>
          </w:p>
        </w:tc>
      </w:tr>
      <w:tr>
        <w:tc>
          <w:tcPr>
            <w:tcW w:type="dxa" w:w="1234"/>
          </w:tcPr>
          <w:p>
            <w:r>
              <w:t>8</w:t>
            </w:r>
          </w:p>
        </w:tc>
        <w:tc>
          <w:tcPr>
            <w:tcW w:type="dxa" w:w="1234"/>
          </w:tcPr>
          <w:p>
            <w:r>
              <w:t>17.03%</w:t>
            </w:r>
          </w:p>
        </w:tc>
        <w:tc>
          <w:tcPr>
            <w:tcW w:type="dxa" w:w="1234"/>
          </w:tcPr>
          <w:p>
            <w:r>
              <w:t>73.72%</w:t>
            </w:r>
          </w:p>
        </w:tc>
        <w:tc>
          <w:tcPr>
            <w:tcW w:type="dxa" w:w="1234"/>
          </w:tcPr>
          <w:p>
            <w:r>
              <w:t>8.42%</w:t>
            </w:r>
          </w:p>
        </w:tc>
        <w:tc>
          <w:tcPr>
            <w:tcW w:type="dxa" w:w="1234"/>
          </w:tcPr>
          <w:p>
            <w:r>
              <w:t>26.28%</w:t>
            </w:r>
          </w:p>
        </w:tc>
        <w:tc>
          <w:tcPr>
            <w:tcW w:type="dxa" w:w="1234"/>
          </w:tcPr>
          <w:p>
            <w:r>
              <w:t>13.42%</w:t>
            </w:r>
          </w:p>
        </w:tc>
        <w:tc>
          <w:tcPr>
            <w:tcW w:type="dxa" w:w="1234"/>
          </w:tcPr>
          <w:p>
            <w:r>
              <w:t>955</w:t>
            </w:r>
          </w:p>
        </w:tc>
      </w:tr>
      <w:tr>
        <w:tc>
          <w:tcPr>
            <w:tcW w:type="dxa" w:w="1234"/>
          </w:tcPr>
          <w:p>
            <w:r>
              <w:t>9</w:t>
            </w:r>
          </w:p>
        </w:tc>
        <w:tc>
          <w:tcPr>
            <w:tcW w:type="dxa" w:w="1234"/>
          </w:tcPr>
          <w:p>
            <w:r>
              <w:t>0.00%</w:t>
            </w:r>
          </w:p>
        </w:tc>
        <w:tc>
          <w:tcPr>
            <w:tcW w:type="dxa" w:w="1234"/>
          </w:tcPr>
          <w:p>
            <w:r>
              <w:t>0.00%</w:t>
            </w:r>
          </w:p>
        </w:tc>
        <w:tc>
          <w:tcPr>
            <w:tcW w:type="dxa" w:w="1234"/>
          </w:tcPr>
          <w:p>
            <w:r>
              <w:t>0.77%</w:t>
            </w:r>
          </w:p>
        </w:tc>
        <w:tc>
          <w:tcPr>
            <w:tcW w:type="dxa" w:w="1234"/>
          </w:tcPr>
          <w:p>
            <w:r>
              <w:t>100.00%</w:t>
            </w:r>
          </w:p>
        </w:tc>
        <w:tc>
          <w:tcPr>
            <w:tcW w:type="dxa" w:w="1234"/>
          </w:tcPr>
          <w:p>
            <w:r>
              <w:t>0.32%</w:t>
            </w:r>
          </w:p>
        </w:tc>
        <w:tc>
          <w:tcPr>
            <w:tcW w:type="dxa" w:w="1234"/>
          </w:tcPr>
          <w:p>
            <w:r>
              <w:t>23</w:t>
            </w:r>
          </w:p>
        </w:tc>
      </w:tr>
      <w:tr>
        <w:tc>
          <w:tcPr>
            <w:tcW w:type="dxa" w:w="1234"/>
          </w:tcPr>
          <w:p>
            <w:r>
              <w:t>10</w:t>
            </w:r>
          </w:p>
        </w:tc>
        <w:tc>
          <w:tcPr>
            <w:tcW w:type="dxa" w:w="1234"/>
          </w:tcPr>
          <w:p>
            <w:r>
              <w:t>0.00%</w:t>
            </w:r>
          </w:p>
        </w:tc>
        <w:tc>
          <w:tcPr>
            <w:tcW w:type="dxa" w:w="1234"/>
          </w:tcPr>
          <w:p>
            <w:r>
              <w:t>0.00%</w:t>
            </w:r>
          </w:p>
        </w:tc>
        <w:tc>
          <w:tcPr>
            <w:tcW w:type="dxa" w:w="1234"/>
          </w:tcPr>
          <w:p>
            <w:r>
              <w:t>1.64%</w:t>
            </w:r>
          </w:p>
        </w:tc>
        <w:tc>
          <w:tcPr>
            <w:tcW w:type="dxa" w:w="1234"/>
          </w:tcPr>
          <w:p>
            <w:r>
              <w:t>100.00%</w:t>
            </w:r>
          </w:p>
        </w:tc>
        <w:tc>
          <w:tcPr>
            <w:tcW w:type="dxa" w:w="1234"/>
          </w:tcPr>
          <w:p>
            <w:r>
              <w:t>0.69%</w:t>
            </w:r>
          </w:p>
        </w:tc>
        <w:tc>
          <w:tcPr>
            <w:tcW w:type="dxa" w:w="1234"/>
          </w:tcPr>
          <w:p>
            <w:r>
              <w:t>49</w:t>
            </w:r>
          </w:p>
        </w:tc>
      </w:tr>
      <w:tr>
        <w:tc>
          <w:tcPr>
            <w:tcW w:type="dxa" w:w="1234"/>
          </w:tcPr>
          <w:p>
            <w:r>
              <w:t>11</w:t>
            </w:r>
          </w:p>
        </w:tc>
        <w:tc>
          <w:tcPr>
            <w:tcW w:type="dxa" w:w="1234"/>
          </w:tcPr>
          <w:p>
            <w:r>
              <w:t>0.00%</w:t>
            </w:r>
          </w:p>
        </w:tc>
        <w:tc>
          <w:tcPr>
            <w:tcW w:type="dxa" w:w="1234"/>
          </w:tcPr>
          <w:p>
            <w:r>
              <w:t>0.00%</w:t>
            </w:r>
          </w:p>
        </w:tc>
        <w:tc>
          <w:tcPr>
            <w:tcW w:type="dxa" w:w="1234"/>
          </w:tcPr>
          <w:p>
            <w:r>
              <w:t>0.80%</w:t>
            </w:r>
          </w:p>
        </w:tc>
        <w:tc>
          <w:tcPr>
            <w:tcW w:type="dxa" w:w="1234"/>
          </w:tcPr>
          <w:p>
            <w:r>
              <w:t>100.00%</w:t>
            </w:r>
          </w:p>
        </w:tc>
        <w:tc>
          <w:tcPr>
            <w:tcW w:type="dxa" w:w="1234"/>
          </w:tcPr>
          <w:p>
            <w:r>
              <w:t>0.34%</w:t>
            </w:r>
          </w:p>
        </w:tc>
        <w:tc>
          <w:tcPr>
            <w:tcW w:type="dxa" w:w="1234"/>
          </w:tcPr>
          <w:p>
            <w:r>
              <w:t>24</w:t>
            </w:r>
          </w:p>
        </w:tc>
      </w:tr>
      <w:tr>
        <w:tc>
          <w:tcPr>
            <w:tcW w:type="dxa" w:w="1234"/>
          </w:tcPr>
          <w:p>
            <w:r>
              <w:t>12</w:t>
            </w:r>
          </w:p>
        </w:tc>
        <w:tc>
          <w:tcPr>
            <w:tcW w:type="dxa" w:w="1234"/>
          </w:tcPr>
          <w:p>
            <w:r>
              <w:t>5.88%</w:t>
            </w:r>
          </w:p>
        </w:tc>
        <w:tc>
          <w:tcPr>
            <w:tcW w:type="dxa" w:w="1234"/>
          </w:tcPr>
          <w:p>
            <w:r>
              <w:t>39.84%</w:t>
            </w:r>
          </w:p>
        </w:tc>
        <w:tc>
          <w:tcPr>
            <w:tcW w:type="dxa" w:w="1234"/>
          </w:tcPr>
          <w:p>
            <w:r>
              <w:t>12.31%</w:t>
            </w:r>
          </w:p>
        </w:tc>
        <w:tc>
          <w:tcPr>
            <w:tcW w:type="dxa" w:w="1234"/>
          </w:tcPr>
          <w:p>
            <w:r>
              <w:t>60.16%</w:t>
            </w:r>
          </w:p>
        </w:tc>
        <w:tc>
          <w:tcPr>
            <w:tcW w:type="dxa" w:w="1234"/>
          </w:tcPr>
          <w:p>
            <w:r>
              <w:t>8.57%</w:t>
            </w:r>
          </w:p>
        </w:tc>
        <w:tc>
          <w:tcPr>
            <w:tcW w:type="dxa" w:w="1234"/>
          </w:tcPr>
          <w:p>
            <w:r>
              <w:t>610</w:t>
            </w:r>
          </w:p>
        </w:tc>
      </w:tr>
      <w:tr>
        <w:tc>
          <w:tcPr>
            <w:tcW w:type="dxa" w:w="1234"/>
          </w:tcPr>
          <w:p>
            <w:r>
              <w:t>13</w:t>
            </w:r>
          </w:p>
        </w:tc>
        <w:tc>
          <w:tcPr>
            <w:tcW w:type="dxa" w:w="1234"/>
          </w:tcPr>
          <w:p>
            <w:r>
              <w:t>0.00%</w:t>
            </w:r>
          </w:p>
        </w:tc>
        <w:tc>
          <w:tcPr>
            <w:tcW w:type="dxa" w:w="1234"/>
          </w:tcPr>
          <w:p>
            <w:r>
              <w:t>0.00%</w:t>
            </w:r>
          </w:p>
        </w:tc>
        <w:tc>
          <w:tcPr>
            <w:tcW w:type="dxa" w:w="1234"/>
          </w:tcPr>
          <w:p>
            <w:r>
              <w:t>2.62%</w:t>
            </w:r>
          </w:p>
        </w:tc>
        <w:tc>
          <w:tcPr>
            <w:tcW w:type="dxa" w:w="1234"/>
          </w:tcPr>
          <w:p>
            <w:r>
              <w:t>100.00%</w:t>
            </w:r>
          </w:p>
        </w:tc>
        <w:tc>
          <w:tcPr>
            <w:tcW w:type="dxa" w:w="1234"/>
          </w:tcPr>
          <w:p>
            <w:r>
              <w:t>1.10%</w:t>
            </w:r>
          </w:p>
        </w:tc>
        <w:tc>
          <w:tcPr>
            <w:tcW w:type="dxa" w:w="1234"/>
          </w:tcPr>
          <w:p>
            <w:r>
              <w:t>78</w:t>
            </w:r>
          </w:p>
        </w:tc>
      </w:tr>
      <w:tr>
        <w:tc>
          <w:tcPr>
            <w:tcW w:type="dxa" w:w="1234"/>
          </w:tcPr>
          <w:p>
            <w:r>
              <w:t>14</w:t>
            </w:r>
          </w:p>
        </w:tc>
        <w:tc>
          <w:tcPr>
            <w:tcW w:type="dxa" w:w="1234"/>
          </w:tcPr>
          <w:p>
            <w:r>
              <w:t>0.00%</w:t>
            </w:r>
          </w:p>
        </w:tc>
        <w:tc>
          <w:tcPr>
            <w:tcW w:type="dxa" w:w="1234"/>
          </w:tcPr>
          <w:p>
            <w:r>
              <w:t>0.00%</w:t>
            </w:r>
          </w:p>
        </w:tc>
        <w:tc>
          <w:tcPr>
            <w:tcW w:type="dxa" w:w="1234"/>
          </w:tcPr>
          <w:p>
            <w:r>
              <w:t>7.31%</w:t>
            </w:r>
          </w:p>
        </w:tc>
        <w:tc>
          <w:tcPr>
            <w:tcW w:type="dxa" w:w="1234"/>
          </w:tcPr>
          <w:p>
            <w:r>
              <w:t>100.00%</w:t>
            </w:r>
          </w:p>
        </w:tc>
        <w:tc>
          <w:tcPr>
            <w:tcW w:type="dxa" w:w="1234"/>
          </w:tcPr>
          <w:p>
            <w:r>
              <w:t>3.06%</w:t>
            </w:r>
          </w:p>
        </w:tc>
        <w:tc>
          <w:tcPr>
            <w:tcW w:type="dxa" w:w="1234"/>
          </w:tcPr>
          <w:p>
            <w:r>
              <w:t>218</w:t>
            </w:r>
          </w:p>
        </w:tc>
      </w:tr>
      <w:tr>
        <w:tc>
          <w:tcPr>
            <w:tcW w:type="dxa" w:w="1234"/>
          </w:tcPr>
          <w:p>
            <w:r>
              <w:t>15</w:t>
            </w:r>
          </w:p>
        </w:tc>
        <w:tc>
          <w:tcPr>
            <w:tcW w:type="dxa" w:w="1234"/>
          </w:tcPr>
          <w:p>
            <w:r>
              <w:t>36.03%</w:t>
            </w:r>
          </w:p>
        </w:tc>
        <w:tc>
          <w:tcPr>
            <w:tcW w:type="dxa" w:w="1234"/>
          </w:tcPr>
          <w:p>
            <w:r>
              <w:t>68.74%</w:t>
            </w:r>
          </w:p>
        </w:tc>
        <w:tc>
          <w:tcPr>
            <w:tcW w:type="dxa" w:w="1234"/>
          </w:tcPr>
          <w:p>
            <w:r>
              <w:t>22.70%</w:t>
            </w:r>
          </w:p>
        </w:tc>
        <w:tc>
          <w:tcPr>
            <w:tcW w:type="dxa" w:w="1234"/>
          </w:tcPr>
          <w:p>
            <w:r>
              <w:t>31.26%</w:t>
            </w:r>
          </w:p>
        </w:tc>
        <w:tc>
          <w:tcPr>
            <w:tcW w:type="dxa" w:w="1234"/>
          </w:tcPr>
          <w:p>
            <w:r>
              <w:t>30.44%</w:t>
            </w:r>
          </w:p>
        </w:tc>
        <w:tc>
          <w:tcPr>
            <w:tcW w:type="dxa" w:w="1234"/>
          </w:tcPr>
          <w:p>
            <w:r>
              <w:t>2166</w:t>
            </w:r>
          </w:p>
        </w:tc>
      </w:tr>
      <w:tr>
        <w:tc>
          <w:tcPr>
            <w:tcW w:type="dxa" w:w="1234"/>
          </w:tcPr>
          <w:p>
            <w:r>
              <w:t>16</w:t>
            </w:r>
          </w:p>
        </w:tc>
        <w:tc>
          <w:tcPr>
            <w:tcW w:type="dxa" w:w="1234"/>
          </w:tcPr>
          <w:p>
            <w:r>
              <w:t>0.73%</w:t>
            </w:r>
          </w:p>
        </w:tc>
        <w:tc>
          <w:tcPr>
            <w:tcW w:type="dxa" w:w="1234"/>
          </w:tcPr>
          <w:p>
            <w:r>
              <w:t>76.92%</w:t>
            </w:r>
          </w:p>
        </w:tc>
        <w:tc>
          <w:tcPr>
            <w:tcW w:type="dxa" w:w="1234"/>
          </w:tcPr>
          <w:p>
            <w:r>
              <w:t>0.30%</w:t>
            </w:r>
          </w:p>
        </w:tc>
        <w:tc>
          <w:tcPr>
            <w:tcW w:type="dxa" w:w="1234"/>
          </w:tcPr>
          <w:p>
            <w:r>
              <w:t>23.08%</w:t>
            </w:r>
          </w:p>
        </w:tc>
        <w:tc>
          <w:tcPr>
            <w:tcW w:type="dxa" w:w="1234"/>
          </w:tcPr>
          <w:p>
            <w:r>
              <w:t>0.55%</w:t>
            </w:r>
          </w:p>
        </w:tc>
        <w:tc>
          <w:tcPr>
            <w:tcW w:type="dxa" w:w="1234"/>
          </w:tcPr>
          <w:p>
            <w:r>
              <w:t>39</w:t>
            </w:r>
          </w:p>
        </w:tc>
      </w:tr>
      <w:tr>
        <w:tc>
          <w:tcPr>
            <w:tcW w:type="dxa" w:w="1234"/>
          </w:tcPr>
          <w:p>
            <w:r>
              <w:t>17</w:t>
            </w:r>
          </w:p>
        </w:tc>
        <w:tc>
          <w:tcPr>
            <w:tcW w:type="dxa" w:w="1234"/>
          </w:tcPr>
          <w:p>
            <w:r>
              <w:t>2.66%</w:t>
            </w:r>
          </w:p>
        </w:tc>
        <w:tc>
          <w:tcPr>
            <w:tcW w:type="dxa" w:w="1234"/>
          </w:tcPr>
          <w:p>
            <w:r>
              <w:t>69.18%</w:t>
            </w:r>
          </w:p>
        </w:tc>
        <w:tc>
          <w:tcPr>
            <w:tcW w:type="dxa" w:w="1234"/>
          </w:tcPr>
          <w:p>
            <w:r>
              <w:t>1.64%</w:t>
            </w:r>
          </w:p>
        </w:tc>
        <w:tc>
          <w:tcPr>
            <w:tcW w:type="dxa" w:w="1234"/>
          </w:tcPr>
          <w:p>
            <w:r>
              <w:t>30.82%</w:t>
            </w:r>
          </w:p>
        </w:tc>
        <w:tc>
          <w:tcPr>
            <w:tcW w:type="dxa" w:w="1234"/>
          </w:tcPr>
          <w:p>
            <w:r>
              <w:t>2.23%</w:t>
            </w:r>
          </w:p>
        </w:tc>
        <w:tc>
          <w:tcPr>
            <w:tcW w:type="dxa" w:w="1234"/>
          </w:tcPr>
          <w:p>
            <w:r>
              <w:t>159</w:t>
            </w:r>
          </w:p>
        </w:tc>
      </w:tr>
      <w:tr>
        <w:tc>
          <w:tcPr>
            <w:tcW w:type="dxa" w:w="1234"/>
          </w:tcPr>
          <w:p>
            <w:r>
              <w:t>Total</w:t>
            </w:r>
          </w:p>
        </w:tc>
        <w:tc>
          <w:tcPr>
            <w:tcW w:type="dxa" w:w="1234"/>
          </w:tcPr>
          <w:p>
            <w:r>
              <w:t>100%</w:t>
            </w:r>
          </w:p>
        </w:tc>
        <w:tc>
          <w:tcPr>
            <w:tcW w:type="dxa" w:w="1234"/>
          </w:tcPr>
          <w:p>
            <w:r>
              <w:t>58.09%</w:t>
            </w:r>
          </w:p>
        </w:tc>
        <w:tc>
          <w:tcPr>
            <w:tcW w:type="dxa" w:w="1234"/>
          </w:tcPr>
          <w:p>
            <w:r>
              <w:t>100%</w:t>
            </w:r>
          </w:p>
        </w:tc>
        <w:tc>
          <w:tcPr>
            <w:tcW w:type="dxa" w:w="1234"/>
          </w:tcPr>
          <w:p>
            <w:r>
              <w:t>41.91%</w:t>
            </w:r>
          </w:p>
        </w:tc>
        <w:tc>
          <w:tcPr>
            <w:tcW w:type="dxa" w:w="1234"/>
          </w:tcPr>
          <w:p>
            <w:r>
              <w:t>100%</w:t>
            </w:r>
          </w:p>
        </w:tc>
        <w:tc>
          <w:tcPr>
            <w:tcW w:type="dxa" w:w="1234"/>
          </w:tcPr>
          <w:p>
            <w:r>
              <w:t>7115</w:t>
            </w:r>
          </w:p>
        </w:tc>
      </w:tr>
    </w:tbl>
    <w:p/>
    <w:p>
      <w:pPr>
        <w:pStyle w:val="Heading2"/>
      </w:pPr>
      <w:r>
        <w:t>Análisis descriptivo (no_tema)</w:t>
      </w:r>
    </w:p>
    <w:p>
      <w:r>
        <w:t>Los resultados de la tabla de contingencia revelan patrones de alta concentración temática y marcada dinámica temporal. El análisis de la distribución muestra que el Tema 15 constituye el eje central del conjunto de datos, representando individualmente el 30.44% del total de frecuencias. Este tema, junto con los Temas 8 (13.42%) y 5 (11.12%), define la estructura temática principal, evidenciando que la discusión o el fenómeno analizado está profundamente anclado en estos tres ejes centrales. En términos de cobertura temporal, se observa que el periodo 'de 2017 a 2021' aporta la mayor masa de datos (58.09%), pero el año 2024 no solo mantiene una participación sustancial (41.91%), sino que también es el vehículo de la emergencia de nuevos focos de atención.</w:t>
        <w:br/>
        <w:br/>
        <w:t>Desde una perspectiva sociolingüística o temática, el dato más llamativo es la aparición de múltiples temas (3, 4, 7, 9, 10, 11, 13, 14) cuyo 100% de sus registros se concentran exclusivamente en el periodo 2024. Esta dispersión de nuevos temas sugiere un cambio paradigmático o un giro en el foco de la conversación que distingue claramente la realidad de 2024 de la dinámica observada en el quinquenio anterior. Mientras que temas fundamentales como el 15 logran mantener una alta relevancia relativa en 2024 (31.26% de su frecuencia), los nuevos temas, al estar completamente sesgados hacia el periodo más reciente, apuntan a la emergencia de asuntos novedosos o temas recién sobrevalorados que no formaban parte del corpus histórico analizado.</w:t>
      </w:r>
    </w:p>
    <w:p>
      <w:r>
        <w:br w:type="page"/>
      </w:r>
    </w:p>
    <w:p>
      <w:pPr>
        <w:pStyle w:val="Heading1"/>
      </w:pPr>
      <w:r>
        <w:t>Distribución: Ia tema central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Ia tema central</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58.45%</w:t>
            </w:r>
          </w:p>
        </w:tc>
        <w:tc>
          <w:tcPr>
            <w:tcW w:type="dxa" w:w="1728"/>
          </w:tcPr>
          <w:p>
            <w:r>
              <w:t>100.00%</w:t>
            </w:r>
          </w:p>
        </w:tc>
        <w:tc>
          <w:tcPr>
            <w:tcW w:type="dxa" w:w="1728"/>
          </w:tcPr>
          <w:p>
            <w:r>
              <w:t>58.45%</w:t>
            </w:r>
          </w:p>
        </w:tc>
        <w:tc>
          <w:tcPr>
            <w:tcW w:type="dxa" w:w="1728"/>
          </w:tcPr>
          <w:p>
            <w:r>
              <w:t>1743</w:t>
            </w:r>
          </w:p>
        </w:tc>
      </w:tr>
      <w:tr>
        <w:tc>
          <w:tcPr>
            <w:tcW w:type="dxa" w:w="1728"/>
          </w:tcPr>
          <w:p>
            <w:r>
              <w:t>2.0</w:t>
            </w:r>
          </w:p>
        </w:tc>
        <w:tc>
          <w:tcPr>
            <w:tcW w:type="dxa" w:w="1728"/>
          </w:tcPr>
          <w:p>
            <w:r>
              <w:t>41.55%</w:t>
            </w:r>
          </w:p>
        </w:tc>
        <w:tc>
          <w:tcPr>
            <w:tcW w:type="dxa" w:w="1728"/>
          </w:tcPr>
          <w:p>
            <w:r>
              <w:t>100.00%</w:t>
            </w:r>
          </w:p>
        </w:tc>
        <w:tc>
          <w:tcPr>
            <w:tcW w:type="dxa" w:w="1728"/>
          </w:tcPr>
          <w:p>
            <w:r>
              <w:t>41.55%</w:t>
            </w:r>
          </w:p>
        </w:tc>
        <w:tc>
          <w:tcPr>
            <w:tcW w:type="dxa" w:w="1728"/>
          </w:tcPr>
          <w:p>
            <w:r>
              <w:t>1239</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2982</w:t>
            </w:r>
          </w:p>
        </w:tc>
      </w:tr>
    </w:tbl>
    <w:p/>
    <w:p>
      <w:pPr>
        <w:pStyle w:val="Heading2"/>
      </w:pPr>
      <w:r>
        <w:t>Análisis descriptivo (ia_tema_central)</w:t>
      </w:r>
    </w:p>
    <w:p>
      <w:r>
        <w:t>El análisis de la distribución temática revela una clara ponderación en la elección de los participantes respecto al tema central. Se observa que la temática 1.0 constituye el eje mayoritario de la muestra, acumulando el 58.45% del total de registros. Esta preponderancia indica que el contenido o enfoque abordado por la primera categoría resuena significativamente con la base analizada. Por el contrario, la temática 2.0, si bien es considerable, representa una minoría significativa del 41.55%.</w:t>
        <w:br/>
        <w:br/>
        <w:t>Desde una perspectiva sociológica y analítica, esta distribución sugiere un sesgo o una inclinación dominante hacia el primer tema, estableciendo un foco central de atención. Sin embargo, la magnitud del 41.55% atribuido a la temática 2.0 impide considerarla un margen residual; más bien, representa un segmento sustancial que requiere atención específica. Es crucial que cualquier intervención o recomendación basada en estos datos considere la dicotomía entre ambas categorías, ya que la segunda temática no solo es relevante estadísticamente, sino que posiblemente encapsula perspectivas disidentes o complementarias que son fundamentales para una comprensión holística del fenómeno estudiado.</w:t>
      </w:r>
    </w:p>
    <w:p>
      <w:r>
        <w:br w:type="page"/>
      </w:r>
    </w:p>
    <w:p>
      <w:pPr>
        <w:pStyle w:val="Heading1"/>
      </w:pPr>
      <w:r>
        <w:t>Distribución: Significado ia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Significado ia</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93.90%</w:t>
            </w:r>
          </w:p>
        </w:tc>
        <w:tc>
          <w:tcPr>
            <w:tcW w:type="dxa" w:w="1728"/>
          </w:tcPr>
          <w:p>
            <w:r>
              <w:t>100.00%</w:t>
            </w:r>
          </w:p>
        </w:tc>
        <w:tc>
          <w:tcPr>
            <w:tcW w:type="dxa" w:w="1728"/>
          </w:tcPr>
          <w:p>
            <w:r>
              <w:t>93.90%</w:t>
            </w:r>
          </w:p>
        </w:tc>
        <w:tc>
          <w:tcPr>
            <w:tcW w:type="dxa" w:w="1728"/>
          </w:tcPr>
          <w:p>
            <w:r>
              <w:t>2800</w:t>
            </w:r>
          </w:p>
        </w:tc>
      </w:tr>
      <w:tr>
        <w:tc>
          <w:tcPr>
            <w:tcW w:type="dxa" w:w="1728"/>
          </w:tcPr>
          <w:p>
            <w:r>
              <w:t>2.0</w:t>
            </w:r>
          </w:p>
        </w:tc>
        <w:tc>
          <w:tcPr>
            <w:tcW w:type="dxa" w:w="1728"/>
          </w:tcPr>
          <w:p>
            <w:r>
              <w:t>6.10%</w:t>
            </w:r>
          </w:p>
        </w:tc>
        <w:tc>
          <w:tcPr>
            <w:tcW w:type="dxa" w:w="1728"/>
          </w:tcPr>
          <w:p>
            <w:r>
              <w:t>100.00%</w:t>
            </w:r>
          </w:p>
        </w:tc>
        <w:tc>
          <w:tcPr>
            <w:tcW w:type="dxa" w:w="1728"/>
          </w:tcPr>
          <w:p>
            <w:r>
              <w:t>6.10%</w:t>
            </w:r>
          </w:p>
        </w:tc>
        <w:tc>
          <w:tcPr>
            <w:tcW w:type="dxa" w:w="1728"/>
          </w:tcPr>
          <w:p>
            <w:r>
              <w:t>182</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2982</w:t>
            </w:r>
          </w:p>
        </w:tc>
      </w:tr>
    </w:tbl>
    <w:p/>
    <w:p>
      <w:pPr>
        <w:pStyle w:val="Heading2"/>
      </w:pPr>
      <w:r>
        <w:t>Análisis descriptivo (significado_ia)</w:t>
      </w:r>
    </w:p>
    <w:p>
      <w:r>
        <w:t>Los resultados de la tabla de contingencia revelan una alta preponderancia y un marcado sesgo en la percepción asociada al significado "ia" en la variable analizada. Específicamente, el valor 1.0 concentra la abrumadora mayoría de las observaciones, alcanzando el 93.90% del total de respuestas (2800 casos). Este hallazgo sugiere un consenso estadístico muy fuerte y cohesivo dentro de la muestra respecto a este significado, indicando que la conceptualización dominante o la visión generalizada es consistentemente representada por esta categoría.</w:t>
        <w:br/>
        <w:br/>
        <w:t>Por el contrario, la opción 2.0 se posiciona como un segmento minoritario, representando únicamente el 6.10% del total de respuestas (182 casos). Aunque este porcentaje es bajo, es crucial reconocerlo, ya que señala la existencia de un grupo minoritario que mantiene una perspectiva distinta o divergente del consenso general. En términos sociológicos, esta marcada disparidad entre el 93.90% y el 6.10% requiere ser interpretada como un patrón de alta uniformidad en la opinión, con solo una pequeña facción manteniendo una visión alternativa.</w:t>
      </w:r>
    </w:p>
    <w:p>
      <w:r>
        <w:br w:type="page"/>
      </w:r>
    </w:p>
    <w:p>
      <w:pPr>
        <w:pStyle w:val="Heading1"/>
      </w:pPr>
      <w:r>
        <w:t>Distribución: Menciona ia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Menciona ia</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8.01%</w:t>
            </w:r>
          </w:p>
        </w:tc>
        <w:tc>
          <w:tcPr>
            <w:tcW w:type="dxa" w:w="1728"/>
          </w:tcPr>
          <w:p>
            <w:r>
              <w:t>100.00%</w:t>
            </w:r>
          </w:p>
        </w:tc>
        <w:tc>
          <w:tcPr>
            <w:tcW w:type="dxa" w:w="1728"/>
          </w:tcPr>
          <w:p>
            <w:r>
              <w:t>8.01%</w:t>
            </w:r>
          </w:p>
        </w:tc>
        <w:tc>
          <w:tcPr>
            <w:tcW w:type="dxa" w:w="1728"/>
          </w:tcPr>
          <w:p>
            <w:r>
              <w:t>239</w:t>
            </w:r>
          </w:p>
        </w:tc>
      </w:tr>
      <w:tr>
        <w:tc>
          <w:tcPr>
            <w:tcW w:type="dxa" w:w="1728"/>
          </w:tcPr>
          <w:p>
            <w:r>
              <w:t>2.0</w:t>
            </w:r>
          </w:p>
        </w:tc>
        <w:tc>
          <w:tcPr>
            <w:tcW w:type="dxa" w:w="1728"/>
          </w:tcPr>
          <w:p>
            <w:r>
              <w:t>91.99%</w:t>
            </w:r>
          </w:p>
        </w:tc>
        <w:tc>
          <w:tcPr>
            <w:tcW w:type="dxa" w:w="1728"/>
          </w:tcPr>
          <w:p>
            <w:r>
              <w:t>100.00%</w:t>
            </w:r>
          </w:p>
        </w:tc>
        <w:tc>
          <w:tcPr>
            <w:tcW w:type="dxa" w:w="1728"/>
          </w:tcPr>
          <w:p>
            <w:r>
              <w:t>91.99%</w:t>
            </w:r>
          </w:p>
        </w:tc>
        <w:tc>
          <w:tcPr>
            <w:tcW w:type="dxa" w:w="1728"/>
          </w:tcPr>
          <w:p>
            <w:r>
              <w:t>2743</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2982</w:t>
            </w:r>
          </w:p>
        </w:tc>
      </w:tr>
    </w:tbl>
    <w:p/>
    <w:p>
      <w:pPr>
        <w:pStyle w:val="Heading2"/>
      </w:pPr>
      <w:r>
        <w:t>Análisis descriptivo (menciona_ia)</w:t>
      </w:r>
    </w:p>
    <w:p>
      <w:r>
        <w:t>El análisis de la variable "Menciona ia" revela una marcada disparidad en la distribución de las frecuencias absolutas y porcentuales dentro de la muestra. El resultado más notable es el profundo predominio de la categoría 2.0, la cual concentra el 91.99% del total de observaciones (2,743 frecuencias), indicando que esta opción es la más prevalente entre los participantes. Por el contrario, la categoría 1.0 representa una minoría sustancialmente menor, constituyendo solo el 8.01% del total muestral (239 frecuencias).</w:t>
        <w:br/>
        <w:br/>
        <w:t>Esta distribución altamente sesgada sugiere que la manifestación del fenómeno medido por la categoría 2.0 no es un evento marginal, sino la norma dominante dentro del universo estudiado. Desde una perspectiva sociológica y de análisis de datos, esta elevada asimetría es crucial, ya que cualquier interpretación de la variable debe considerar este desbalance, lo que implica que el conjunto de datos no es representativo de una distribución equitativa, sino de un patrón de alta concentración en un único polo.</w:t>
      </w:r>
    </w:p>
    <w:p>
      <w:r>
        <w:br w:type="page"/>
      </w:r>
    </w:p>
    <w:p>
      <w:pPr>
        <w:pStyle w:val="Heading1"/>
      </w:pPr>
      <w:r>
        <w:t>Distribución: Referencia politicas genero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Referencia politicas genero</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97.69%</w:t>
            </w:r>
          </w:p>
        </w:tc>
        <w:tc>
          <w:tcPr>
            <w:tcW w:type="dxa" w:w="1728"/>
          </w:tcPr>
          <w:p>
            <w:r>
              <w:t>100.00%</w:t>
            </w:r>
          </w:p>
        </w:tc>
        <w:tc>
          <w:tcPr>
            <w:tcW w:type="dxa" w:w="1728"/>
          </w:tcPr>
          <w:p>
            <w:r>
              <w:t>97.69%</w:t>
            </w:r>
          </w:p>
        </w:tc>
        <w:tc>
          <w:tcPr>
            <w:tcW w:type="dxa" w:w="1728"/>
          </w:tcPr>
          <w:p>
            <w:r>
              <w:t>2913</w:t>
            </w:r>
          </w:p>
        </w:tc>
      </w:tr>
      <w:tr>
        <w:tc>
          <w:tcPr>
            <w:tcW w:type="dxa" w:w="1728"/>
          </w:tcPr>
          <w:p>
            <w:r>
              <w:t>2.0</w:t>
            </w:r>
          </w:p>
        </w:tc>
        <w:tc>
          <w:tcPr>
            <w:tcW w:type="dxa" w:w="1728"/>
          </w:tcPr>
          <w:p>
            <w:r>
              <w:t>2.31%</w:t>
            </w:r>
          </w:p>
        </w:tc>
        <w:tc>
          <w:tcPr>
            <w:tcW w:type="dxa" w:w="1728"/>
          </w:tcPr>
          <w:p>
            <w:r>
              <w:t>100.00%</w:t>
            </w:r>
          </w:p>
        </w:tc>
        <w:tc>
          <w:tcPr>
            <w:tcW w:type="dxa" w:w="1728"/>
          </w:tcPr>
          <w:p>
            <w:r>
              <w:t>2.31%</w:t>
            </w:r>
          </w:p>
        </w:tc>
        <w:tc>
          <w:tcPr>
            <w:tcW w:type="dxa" w:w="1728"/>
          </w:tcPr>
          <w:p>
            <w:r>
              <w:t>69</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2982</w:t>
            </w:r>
          </w:p>
        </w:tc>
      </w:tr>
    </w:tbl>
    <w:p/>
    <w:p>
      <w:pPr>
        <w:pStyle w:val="Heading2"/>
      </w:pPr>
      <w:r>
        <w:t>Análisis descriptivo (referencia_politicas_genero)</w:t>
      </w:r>
    </w:p>
    <w:p>
      <w:r>
        <w:t>Los resultados de la tabla de contingencia revelan una correlación estructural extremadamente alta entre la variable 'Referencia politicas genero' y el factor representado por la columna '2024'. Específicamente, la categoría 1.0 exhibe una predominancia notable, concentrando el 97.69% de la totalidad de las observaciones en el resultado '2024'. Esta sobrerrepresentación sugiere que la pertenencia a la categoría 1.0 es un predictor casi determinístico del estatus o resultado '2024', lo cual es estadísticamente el patrón más destacado del conjunto de datos.</w:t>
        <w:br/>
        <w:br/>
        <w:t>En contraste, la categoría 2.0 muestra un nivel de participación marginal, representando únicamente el 2.31% de las observaciones en esta variable. Esta marcada disparidad indica que el patrón analizado por el '2024' se explica predominantemente a través de la primera referencia política (1.0), mientras que la segunda referencia (2.0) apenas contribuye a la distribución general. Estos hallazgos sugieren que las variables son altamente dependientes, y cualquier análisis subsiguiente debe centrarse en la robustez y el significado teórico de la categoría 1.0 en el contexto del fenómeno estudiado.</w:t>
      </w:r>
    </w:p>
    <w:p>
      <w:r>
        <w:br w:type="page"/>
      </w:r>
    </w:p>
    <w:p>
      <w:pPr>
        <w:pStyle w:val="Heading1"/>
      </w:pPr>
      <w:r>
        <w:t>Distribución: Denuncia desigualdad genero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Denuncia desigualdad genero</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w:t>
            </w:r>
          </w:p>
        </w:tc>
        <w:tc>
          <w:tcPr>
            <w:tcW w:type="dxa" w:w="1234"/>
          </w:tcPr>
          <w:p>
            <w:r>
              <w:t>89.77%</w:t>
            </w:r>
          </w:p>
        </w:tc>
        <w:tc>
          <w:tcPr>
            <w:tcW w:type="dxa" w:w="1234"/>
          </w:tcPr>
          <w:p>
            <w:r>
              <w:t>56.89%</w:t>
            </w:r>
          </w:p>
        </w:tc>
        <w:tc>
          <w:tcPr>
            <w:tcW w:type="dxa" w:w="1234"/>
          </w:tcPr>
          <w:p>
            <w:r>
              <w:t>94.27%</w:t>
            </w:r>
          </w:p>
        </w:tc>
        <w:tc>
          <w:tcPr>
            <w:tcW w:type="dxa" w:w="1234"/>
          </w:tcPr>
          <w:p>
            <w:r>
              <w:t>43.11%</w:t>
            </w:r>
          </w:p>
        </w:tc>
        <w:tc>
          <w:tcPr>
            <w:tcW w:type="dxa" w:w="1234"/>
          </w:tcPr>
          <w:p>
            <w:r>
              <w:t>91.65%</w:t>
            </w:r>
          </w:p>
        </w:tc>
        <w:tc>
          <w:tcPr>
            <w:tcW w:type="dxa" w:w="1234"/>
          </w:tcPr>
          <w:p>
            <w:r>
              <w:t>6521</w:t>
            </w:r>
          </w:p>
        </w:tc>
      </w:tr>
      <w:tr>
        <w:tc>
          <w:tcPr>
            <w:tcW w:type="dxa" w:w="1234"/>
          </w:tcPr>
          <w:p>
            <w:r>
              <w:t>2</w:t>
            </w:r>
          </w:p>
        </w:tc>
        <w:tc>
          <w:tcPr>
            <w:tcW w:type="dxa" w:w="1234"/>
          </w:tcPr>
          <w:p>
            <w:r>
              <w:t>10.23%</w:t>
            </w:r>
          </w:p>
        </w:tc>
        <w:tc>
          <w:tcPr>
            <w:tcW w:type="dxa" w:w="1234"/>
          </w:tcPr>
          <w:p>
            <w:r>
              <w:t>71.21%</w:t>
            </w:r>
          </w:p>
        </w:tc>
        <w:tc>
          <w:tcPr>
            <w:tcW w:type="dxa" w:w="1234"/>
          </w:tcPr>
          <w:p>
            <w:r>
              <w:t>5.73%</w:t>
            </w:r>
          </w:p>
        </w:tc>
        <w:tc>
          <w:tcPr>
            <w:tcW w:type="dxa" w:w="1234"/>
          </w:tcPr>
          <w:p>
            <w:r>
              <w:t>28.79%</w:t>
            </w:r>
          </w:p>
        </w:tc>
        <w:tc>
          <w:tcPr>
            <w:tcW w:type="dxa" w:w="1234"/>
          </w:tcPr>
          <w:p>
            <w:r>
              <w:t>8.35%</w:t>
            </w:r>
          </w:p>
        </w:tc>
        <w:tc>
          <w:tcPr>
            <w:tcW w:type="dxa" w:w="1234"/>
          </w:tcPr>
          <w:p>
            <w:r>
              <w:t>594</w:t>
            </w:r>
          </w:p>
        </w:tc>
      </w:tr>
      <w:tr>
        <w:tc>
          <w:tcPr>
            <w:tcW w:type="dxa" w:w="1234"/>
          </w:tcPr>
          <w:p>
            <w:r>
              <w:t>Total</w:t>
            </w:r>
          </w:p>
        </w:tc>
        <w:tc>
          <w:tcPr>
            <w:tcW w:type="dxa" w:w="1234"/>
          </w:tcPr>
          <w:p>
            <w:r>
              <w:t>100%</w:t>
            </w:r>
          </w:p>
        </w:tc>
        <w:tc>
          <w:tcPr>
            <w:tcW w:type="dxa" w:w="1234"/>
          </w:tcPr>
          <w:p>
            <w:r>
              <w:t>58.09%</w:t>
            </w:r>
          </w:p>
        </w:tc>
        <w:tc>
          <w:tcPr>
            <w:tcW w:type="dxa" w:w="1234"/>
          </w:tcPr>
          <w:p>
            <w:r>
              <w:t>100%</w:t>
            </w:r>
          </w:p>
        </w:tc>
        <w:tc>
          <w:tcPr>
            <w:tcW w:type="dxa" w:w="1234"/>
          </w:tcPr>
          <w:p>
            <w:r>
              <w:t>41.91%</w:t>
            </w:r>
          </w:p>
        </w:tc>
        <w:tc>
          <w:tcPr>
            <w:tcW w:type="dxa" w:w="1234"/>
          </w:tcPr>
          <w:p>
            <w:r>
              <w:t>100%</w:t>
            </w:r>
          </w:p>
        </w:tc>
        <w:tc>
          <w:tcPr>
            <w:tcW w:type="dxa" w:w="1234"/>
          </w:tcPr>
          <w:p>
            <w:r>
              <w:t>7115</w:t>
            </w:r>
          </w:p>
        </w:tc>
      </w:tr>
    </w:tbl>
    <w:p/>
    <w:p>
      <w:pPr>
        <w:pStyle w:val="Heading2"/>
      </w:pPr>
      <w:r>
        <w:t>Análisis descriptivo (denuncia_desigualdad_genero)</w:t>
      </w:r>
    </w:p>
    <w:p>
      <w:r>
        <w:t>Los resultados de la tabla de contingencia revelan un notable cambio en la distribución proporcional de las denuncias según la dimensión del género a lo largo del tiempo. El análisis comparativo entre el periodo de 2017 a 2021 y el año 2024 muestra que, si bien la primera categoría sigue siendo un componente estructuralmente relevante, la dinámica de las denuncias ha experimentado una reconfiguración significativa. Específicamente, la segunda categoría, que mostró una alta concentración relativa (71.21%) en el periodo 2017-2021, registra una disminución proporcional marcada, situándose en un 28.79% en 2024.</w:t>
        <w:br/>
        <w:br/>
        <w:t>Por otro lado, la primera categoría mantiene su prominencia, representando el 43.11% del total de denuncias en 2024, lo que indica una persistencia considerable de esta dimensión de desigualdad. Globalmente, aunque la distribución se ha equilibrado de manera más equitativa respecto a la historia, el dato sugiere una reducción en la preponderancia de la dimensión capturada por la segunda categoría. Este patrón requiere una atención sociológica particular, ya que implica no solo una disminución en la manifestación de ciertas problemáticas denunciables, sino posiblemente un cambio en la tipología de las narrativas de desigualdad de género reportadas en los últimos años.</w:t>
      </w:r>
    </w:p>
    <w:p>
      <w:r>
        <w:br w:type="page"/>
      </w:r>
    </w:p>
    <w:p>
      <w:pPr>
        <w:pStyle w:val="Heading1"/>
      </w:pPr>
      <w:r>
        <w:t>Distribución: Mujeres racializadas noticias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Mujeres racializadas noticias</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92.08%</w:t>
            </w:r>
          </w:p>
        </w:tc>
        <w:tc>
          <w:tcPr>
            <w:tcW w:type="dxa" w:w="1728"/>
          </w:tcPr>
          <w:p>
            <w:r>
              <w:t>100.00%</w:t>
            </w:r>
          </w:p>
        </w:tc>
        <w:tc>
          <w:tcPr>
            <w:tcW w:type="dxa" w:w="1728"/>
          </w:tcPr>
          <w:p>
            <w:r>
              <w:t>92.08%</w:t>
            </w:r>
          </w:p>
        </w:tc>
        <w:tc>
          <w:tcPr>
            <w:tcW w:type="dxa" w:w="1728"/>
          </w:tcPr>
          <w:p>
            <w:r>
              <w:t>1314</w:t>
            </w:r>
          </w:p>
        </w:tc>
      </w:tr>
      <w:tr>
        <w:tc>
          <w:tcPr>
            <w:tcW w:type="dxa" w:w="1728"/>
          </w:tcPr>
          <w:p>
            <w:r>
              <w:t>2.0</w:t>
            </w:r>
          </w:p>
        </w:tc>
        <w:tc>
          <w:tcPr>
            <w:tcW w:type="dxa" w:w="1728"/>
          </w:tcPr>
          <w:p>
            <w:r>
              <w:t>7.92%</w:t>
            </w:r>
          </w:p>
        </w:tc>
        <w:tc>
          <w:tcPr>
            <w:tcW w:type="dxa" w:w="1728"/>
          </w:tcPr>
          <w:p>
            <w:r>
              <w:t>100.00%</w:t>
            </w:r>
          </w:p>
        </w:tc>
        <w:tc>
          <w:tcPr>
            <w:tcW w:type="dxa" w:w="1728"/>
          </w:tcPr>
          <w:p>
            <w:r>
              <w:t>7.92%</w:t>
            </w:r>
          </w:p>
        </w:tc>
        <w:tc>
          <w:tcPr>
            <w:tcW w:type="dxa" w:w="1728"/>
          </w:tcPr>
          <w:p>
            <w:r>
              <w:t>113</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1427</w:t>
            </w:r>
          </w:p>
        </w:tc>
      </w:tr>
    </w:tbl>
    <w:p/>
    <w:p>
      <w:pPr>
        <w:pStyle w:val="Heading2"/>
      </w:pPr>
      <w:r>
        <w:t>Análisis descriptivo (mujeres_racializadas_noticias)</w:t>
      </w:r>
    </w:p>
    <w:p>
      <w:r>
        <w:t>El análisis de la tabla de contingencia revela una marcada asimetría en la distribución de las categorías observadas bajo el factor "Mujeres racializadas noticias". Los resultados indican que la categoría representada por el valor 1.0 constituye la presencia dominante en el corpus de datos, acumulando el 92.08% de las frecuencias totales (1314 casos). Por el contrario, la categoría 2.0 presenta una baja representatividad, concentrándose en apenas un 7.92% del total de observaciones (113 casos).</w:t>
        <w:br/>
        <w:br/>
        <w:t>Esta alta concentración de datos en la primera categoría sugiere una sobrerrepresentación o una tendencia generalizada hacia un determinado patrón de cobertura o enfoque en las noticias. Desde una perspectiva sociológica, esta distribución extremadamente sesgada debe ser interpretada con cautela, ya que la baja frecuencia de la categoría 2.0 podría señalar la marginalización o la subrepresentación de ciertos aspectos temáticos. Para una comprensión integral, se requeriría investigar si esta disparidad numérica refleja realmente una realidad subyacente en la población analizada o si es un artefacto metodológico relacionado con el sesgo de selección o el alcance de la cobertura mediática.</w:t>
      </w:r>
    </w:p>
    <w:p>
      <w:r>
        <w:br w:type="page"/>
      </w:r>
    </w:p>
    <w:p>
      <w:pPr>
        <w:pStyle w:val="Heading1"/>
      </w:pPr>
      <w:r>
        <w:t>Distribución: Mujeres con discapacidad noticias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Mujeres con discapacidad noticias</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99.58%</w:t>
            </w:r>
          </w:p>
        </w:tc>
        <w:tc>
          <w:tcPr>
            <w:tcW w:type="dxa" w:w="1728"/>
          </w:tcPr>
          <w:p>
            <w:r>
              <w:t>100.00%</w:t>
            </w:r>
          </w:p>
        </w:tc>
        <w:tc>
          <w:tcPr>
            <w:tcW w:type="dxa" w:w="1728"/>
          </w:tcPr>
          <w:p>
            <w:r>
              <w:t>99.58%</w:t>
            </w:r>
          </w:p>
        </w:tc>
        <w:tc>
          <w:tcPr>
            <w:tcW w:type="dxa" w:w="1728"/>
          </w:tcPr>
          <w:p>
            <w:r>
              <w:t>1421</w:t>
            </w:r>
          </w:p>
        </w:tc>
      </w:tr>
      <w:tr>
        <w:tc>
          <w:tcPr>
            <w:tcW w:type="dxa" w:w="1728"/>
          </w:tcPr>
          <w:p>
            <w:r>
              <w:t>2.0</w:t>
            </w:r>
          </w:p>
        </w:tc>
        <w:tc>
          <w:tcPr>
            <w:tcW w:type="dxa" w:w="1728"/>
          </w:tcPr>
          <w:p>
            <w:r>
              <w:t>0.42%</w:t>
            </w:r>
          </w:p>
        </w:tc>
        <w:tc>
          <w:tcPr>
            <w:tcW w:type="dxa" w:w="1728"/>
          </w:tcPr>
          <w:p>
            <w:r>
              <w:t>100.00%</w:t>
            </w:r>
          </w:p>
        </w:tc>
        <w:tc>
          <w:tcPr>
            <w:tcW w:type="dxa" w:w="1728"/>
          </w:tcPr>
          <w:p>
            <w:r>
              <w:t>0.42%</w:t>
            </w:r>
          </w:p>
        </w:tc>
        <w:tc>
          <w:tcPr>
            <w:tcW w:type="dxa" w:w="1728"/>
          </w:tcPr>
          <w:p>
            <w:r>
              <w:t>6</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1427</w:t>
            </w:r>
          </w:p>
        </w:tc>
      </w:tr>
    </w:tbl>
    <w:p/>
    <w:p>
      <w:pPr>
        <w:pStyle w:val="Heading2"/>
      </w:pPr>
      <w:r>
        <w:t>Análisis descriptivo (mujeres_con_discapacidad_noticias)</w:t>
      </w:r>
    </w:p>
    <w:p>
      <w:r>
        <w:t>El análisis de la distribución de la cobertura noticiosa revela una marcada concentración y un desequilibrio extremo en la presentación de casos. Específicamente, la categoría representada por '1.0' acapara la abrumadora mayoría de las observaciones, constituyendo el 99.58% del total de registros. En contraste, la segunda categoría, '2.0', presenta una subrepresentación crítica, siendo responsable de solo el 0.42% del volumen total de datos. Esta disparidad porcentual es el hallazgo más notable y sugiere que el discurso periodístico analizado tiende a focalizar casi por completo su cobertura en el segmento minoritario o más común de las mujeres con discapacidad, marginando significativamente la visibilización del segundo grupo.</w:t>
        <w:br/>
        <w:br/>
        <w:t>Desde una perspectiva sociológica de la comunicación, esta distribución tan polarizada podría indicar varios fenómenos: la sobreexposición o el enfoque dominante en un tipo particular de discurso o caso, o alternativamente, una baja tasa de cobertura mediática general para el tipo de representación asociado a la categoría '2.0'. Los datos sugieren que, en términos de frecuencia de aparición en los medios examinados, el conocimiento o la representación sobre la segunda categoría es marginal, lo cual es un indicador clave de posibles sesgos de cobertura y de la necesidad de investigar si dicha subrepresentación refleja una carencia de información o una tendencia de exclusión discursiva en el ámbito mediático.</w:t>
      </w:r>
    </w:p>
    <w:p>
      <w:r>
        <w:br w:type="page"/>
      </w:r>
    </w:p>
    <w:p>
      <w:pPr>
        <w:pStyle w:val="Heading1"/>
      </w:pPr>
      <w:r>
        <w:t>Distribución: Mujeres generacionalidad noticias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Mujeres generacionalidad noticias</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87.46%</w:t>
            </w:r>
          </w:p>
        </w:tc>
        <w:tc>
          <w:tcPr>
            <w:tcW w:type="dxa" w:w="1728"/>
          </w:tcPr>
          <w:p>
            <w:r>
              <w:t>100.00%</w:t>
            </w:r>
          </w:p>
        </w:tc>
        <w:tc>
          <w:tcPr>
            <w:tcW w:type="dxa" w:w="1728"/>
          </w:tcPr>
          <w:p>
            <w:r>
              <w:t>87.46%</w:t>
            </w:r>
          </w:p>
        </w:tc>
        <w:tc>
          <w:tcPr>
            <w:tcW w:type="dxa" w:w="1728"/>
          </w:tcPr>
          <w:p>
            <w:r>
              <w:t>1248</w:t>
            </w:r>
          </w:p>
        </w:tc>
      </w:tr>
      <w:tr>
        <w:tc>
          <w:tcPr>
            <w:tcW w:type="dxa" w:w="1728"/>
          </w:tcPr>
          <w:p>
            <w:r>
              <w:t>2.0</w:t>
            </w:r>
          </w:p>
        </w:tc>
        <w:tc>
          <w:tcPr>
            <w:tcW w:type="dxa" w:w="1728"/>
          </w:tcPr>
          <w:p>
            <w:r>
              <w:t>12.54%</w:t>
            </w:r>
          </w:p>
        </w:tc>
        <w:tc>
          <w:tcPr>
            <w:tcW w:type="dxa" w:w="1728"/>
          </w:tcPr>
          <w:p>
            <w:r>
              <w:t>100.00%</w:t>
            </w:r>
          </w:p>
        </w:tc>
        <w:tc>
          <w:tcPr>
            <w:tcW w:type="dxa" w:w="1728"/>
          </w:tcPr>
          <w:p>
            <w:r>
              <w:t>12.54%</w:t>
            </w:r>
          </w:p>
        </w:tc>
        <w:tc>
          <w:tcPr>
            <w:tcW w:type="dxa" w:w="1728"/>
          </w:tcPr>
          <w:p>
            <w:r>
              <w:t>179</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1427</w:t>
            </w:r>
          </w:p>
        </w:tc>
      </w:tr>
    </w:tbl>
    <w:p/>
    <w:p>
      <w:pPr>
        <w:pStyle w:val="Heading2"/>
      </w:pPr>
      <w:r>
        <w:t>Análisis descriptivo (mujeres_generacionalidad_noticias)</w:t>
      </w:r>
    </w:p>
    <w:p>
      <w:r>
        <w:t>El análisis de la tabla de contingencia revela una distribución muestral marcadamente asimétrica en relación con la variable de generacionalidad de noticias. Específicamente, la categoría 1.0 domina el conjunto de datos, concentrando el 87.46% del total de las frecuencias observadas (1248 casos). En contraste, la categoría 2.0, aunque representa un grupo minoritario, constituye un segmento cuantificable que aporta el 12.54% restante del total (179 casos). Esta fuerte desproporcionalidad indica que el perfil de la mayoría de la muestra está fuertemente sesgado hacia el nivel 1.0.</w:t>
        <w:br/>
        <w:br/>
        <w:t>Desde una perspectiva analítica, la elevada concentración de casos en una sola categoría sugiere que cualquier estudio causal o correlacional posterior deberá tener en cuenta esta notoria sobrerrepresentación. La pequeña proporción de casos en el nivel 2.0 debe manejarse con cautela metodológica para evitar que el análisis se vea sesgado hacia la descripción del grupo mayoritario. En resumen, si bien la variable registra dos estados definidos, la estructura de frecuencias observadas implica que las características del grupo 1.0 son las que definen, con gran peso estadístico, el perfil general del corpus analizado.</w:t>
      </w:r>
    </w:p>
    <w:p>
      <w:r>
        <w:br w:type="page"/>
      </w:r>
    </w:p>
    <w:p>
      <w:pPr>
        <w:pStyle w:val="Heading1"/>
      </w:pPr>
      <w:r>
        <w:t>Distribución: Tiene fotografias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Tiene fotografias</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1.0</w:t>
            </w:r>
          </w:p>
        </w:tc>
        <w:tc>
          <w:tcPr>
            <w:tcW w:type="dxa" w:w="1234"/>
          </w:tcPr>
          <w:p>
            <w:r>
              <w:t>8.52%</w:t>
            </w:r>
          </w:p>
        </w:tc>
        <w:tc>
          <w:tcPr>
            <w:tcW w:type="dxa" w:w="1234"/>
          </w:tcPr>
          <w:p>
            <w:r>
              <w:t>93.37%</w:t>
            </w:r>
          </w:p>
        </w:tc>
        <w:tc>
          <w:tcPr>
            <w:tcW w:type="dxa" w:w="1234"/>
          </w:tcPr>
          <w:p>
            <w:r>
              <w:t>0.91%</w:t>
            </w:r>
          </w:p>
        </w:tc>
        <w:tc>
          <w:tcPr>
            <w:tcW w:type="dxa" w:w="1234"/>
          </w:tcPr>
          <w:p>
            <w:r>
              <w:t>6.63%</w:t>
            </w:r>
          </w:p>
        </w:tc>
        <w:tc>
          <w:tcPr>
            <w:tcW w:type="dxa" w:w="1234"/>
          </w:tcPr>
          <w:p>
            <w:r>
              <w:t>5.48%</w:t>
            </w:r>
          </w:p>
        </w:tc>
        <w:tc>
          <w:tcPr>
            <w:tcW w:type="dxa" w:w="1234"/>
          </w:tcPr>
          <w:p>
            <w:r>
              <w:t>377</w:t>
            </w:r>
          </w:p>
        </w:tc>
      </w:tr>
      <w:tr>
        <w:tc>
          <w:tcPr>
            <w:tcW w:type="dxa" w:w="1234"/>
          </w:tcPr>
          <w:p>
            <w:r>
              <w:t>2.0</w:t>
            </w:r>
          </w:p>
        </w:tc>
        <w:tc>
          <w:tcPr>
            <w:tcW w:type="dxa" w:w="1234"/>
          </w:tcPr>
          <w:p>
            <w:r>
              <w:t>91.48%</w:t>
            </w:r>
          </w:p>
        </w:tc>
        <w:tc>
          <w:tcPr>
            <w:tcW w:type="dxa" w:w="1234"/>
          </w:tcPr>
          <w:p>
            <w:r>
              <w:t>58.18%</w:t>
            </w:r>
          </w:p>
        </w:tc>
        <w:tc>
          <w:tcPr>
            <w:tcW w:type="dxa" w:w="1234"/>
          </w:tcPr>
          <w:p>
            <w:r>
              <w:t>99.09%</w:t>
            </w:r>
          </w:p>
        </w:tc>
        <w:tc>
          <w:tcPr>
            <w:tcW w:type="dxa" w:w="1234"/>
          </w:tcPr>
          <w:p>
            <w:r>
              <w:t>41.82%</w:t>
            </w:r>
          </w:p>
        </w:tc>
        <w:tc>
          <w:tcPr>
            <w:tcW w:type="dxa" w:w="1234"/>
          </w:tcPr>
          <w:p>
            <w:r>
              <w:t>94.52%</w:t>
            </w:r>
          </w:p>
        </w:tc>
        <w:tc>
          <w:tcPr>
            <w:tcW w:type="dxa" w:w="1234"/>
          </w:tcPr>
          <w:p>
            <w:r>
              <w:t>6499</w:t>
            </w:r>
          </w:p>
        </w:tc>
      </w:tr>
      <w:tr>
        <w:tc>
          <w:tcPr>
            <w:tcW w:type="dxa" w:w="1234"/>
          </w:tcPr>
          <w:p>
            <w:r>
              <w:t>Total</w:t>
            </w:r>
          </w:p>
        </w:tc>
        <w:tc>
          <w:tcPr>
            <w:tcW w:type="dxa" w:w="1234"/>
          </w:tcPr>
          <w:p>
            <w:r>
              <w:t>100%</w:t>
            </w:r>
          </w:p>
        </w:tc>
        <w:tc>
          <w:tcPr>
            <w:tcW w:type="dxa" w:w="1234"/>
          </w:tcPr>
          <w:p>
            <w:r>
              <w:t>60.11%</w:t>
            </w:r>
          </w:p>
        </w:tc>
        <w:tc>
          <w:tcPr>
            <w:tcW w:type="dxa" w:w="1234"/>
          </w:tcPr>
          <w:p>
            <w:r>
              <w:t>100%</w:t>
            </w:r>
          </w:p>
        </w:tc>
        <w:tc>
          <w:tcPr>
            <w:tcW w:type="dxa" w:w="1234"/>
          </w:tcPr>
          <w:p>
            <w:r>
              <w:t>39.89%</w:t>
            </w:r>
          </w:p>
        </w:tc>
        <w:tc>
          <w:tcPr>
            <w:tcW w:type="dxa" w:w="1234"/>
          </w:tcPr>
          <w:p>
            <w:r>
              <w:t>100%</w:t>
            </w:r>
          </w:p>
        </w:tc>
        <w:tc>
          <w:tcPr>
            <w:tcW w:type="dxa" w:w="1234"/>
          </w:tcPr>
          <w:p>
            <w:r>
              <w:t>6876</w:t>
            </w:r>
          </w:p>
        </w:tc>
      </w:tr>
    </w:tbl>
    <w:p/>
    <w:p>
      <w:pPr>
        <w:pStyle w:val="Heading2"/>
      </w:pPr>
      <w:r>
        <w:t>Análisis descriptivo (tiene_fotografias)</w:t>
      </w:r>
    </w:p>
    <w:p>
      <w:r>
        <w:t>El análisis de la tabla de contingencia revela una clara preponderancia de la categoría 2.0, la cual representa la gran mayoría de la muestra total (94.52%). En términos temporales, el período comprendido entre 2017 y 2021 concentra significativamente la población estudiada (60.11% de la muestra total), aunque el período de 2024 aún constituye una porción relevante (39.89%). Esta distribución muestra que las características asociadas a la categoría 2.0 no solo son la más frecuente, sino que mantienen una alta incidencia en ambos marcos temporales.</w:t>
        <w:br/>
        <w:br/>
        <w:t>Al examinar la asociación entre la variable "Tiene fotografías" y el tiempo, se observa una notable coherencia en la alta tasa de posesión de fotografías. Específicamente, el grupo 2.0 exhibe una correlación extremadamente fuerte con la presencia fotográfica, manteniendo tasas superiores al 91% en 2017-2021 y casi el 99% en 2024. A pesar del cambio en el tiempo (de un periodo amplio a un punto específico), la alta posesión de fotografías (categoría 2.0) se consolida como un predictor muy robusto y estable, sugiriendo que la disponibilidad de este recurso es una característica persistente y definitoria de la población analizada.</w:t>
      </w:r>
    </w:p>
    <w:p>
      <w:r>
        <w:br w:type="page"/>
      </w:r>
    </w:p>
    <w:p>
      <w:pPr>
        <w:pStyle w:val="Heading1"/>
      </w:pPr>
      <w:r>
        <w:t>Distribución: Utiliza fuente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Utiliza fuente</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1.0</w:t>
            </w:r>
          </w:p>
        </w:tc>
        <w:tc>
          <w:tcPr>
            <w:tcW w:type="dxa" w:w="1234"/>
          </w:tcPr>
          <w:p>
            <w:r>
              <w:t>38.40%</w:t>
            </w:r>
          </w:p>
        </w:tc>
        <w:tc>
          <w:tcPr>
            <w:tcW w:type="dxa" w:w="1234"/>
          </w:tcPr>
          <w:p>
            <w:r>
              <w:t>77.30%</w:t>
            </w:r>
          </w:p>
        </w:tc>
        <w:tc>
          <w:tcPr>
            <w:tcW w:type="dxa" w:w="1234"/>
          </w:tcPr>
          <w:p>
            <w:r>
              <w:t>16.99%</w:t>
            </w:r>
          </w:p>
        </w:tc>
        <w:tc>
          <w:tcPr>
            <w:tcW w:type="dxa" w:w="1234"/>
          </w:tcPr>
          <w:p>
            <w:r>
              <w:t>22.70%</w:t>
            </w:r>
          </w:p>
        </w:tc>
        <w:tc>
          <w:tcPr>
            <w:tcW w:type="dxa" w:w="1234"/>
          </w:tcPr>
          <w:p>
            <w:r>
              <w:t>29.86%</w:t>
            </w:r>
          </w:p>
        </w:tc>
        <w:tc>
          <w:tcPr>
            <w:tcW w:type="dxa" w:w="1234"/>
          </w:tcPr>
          <w:p>
            <w:r>
              <w:t>2053</w:t>
            </w:r>
          </w:p>
        </w:tc>
      </w:tr>
      <w:tr>
        <w:tc>
          <w:tcPr>
            <w:tcW w:type="dxa" w:w="1234"/>
          </w:tcPr>
          <w:p>
            <w:r>
              <w:t>2.0</w:t>
            </w:r>
          </w:p>
        </w:tc>
        <w:tc>
          <w:tcPr>
            <w:tcW w:type="dxa" w:w="1234"/>
          </w:tcPr>
          <w:p>
            <w:r>
              <w:t>61.60%</w:t>
            </w:r>
          </w:p>
        </w:tc>
        <w:tc>
          <w:tcPr>
            <w:tcW w:type="dxa" w:w="1234"/>
          </w:tcPr>
          <w:p>
            <w:r>
              <w:t>52.79%</w:t>
            </w:r>
          </w:p>
        </w:tc>
        <w:tc>
          <w:tcPr>
            <w:tcW w:type="dxa" w:w="1234"/>
          </w:tcPr>
          <w:p>
            <w:r>
              <w:t>83.01%</w:t>
            </w:r>
          </w:p>
        </w:tc>
        <w:tc>
          <w:tcPr>
            <w:tcW w:type="dxa" w:w="1234"/>
          </w:tcPr>
          <w:p>
            <w:r>
              <w:t>47.21%</w:t>
            </w:r>
          </w:p>
        </w:tc>
        <w:tc>
          <w:tcPr>
            <w:tcW w:type="dxa" w:w="1234"/>
          </w:tcPr>
          <w:p>
            <w:r>
              <w:t>70.14%</w:t>
            </w:r>
          </w:p>
        </w:tc>
        <w:tc>
          <w:tcPr>
            <w:tcW w:type="dxa" w:w="1234"/>
          </w:tcPr>
          <w:p>
            <w:r>
              <w:t>4823</w:t>
            </w:r>
          </w:p>
        </w:tc>
      </w:tr>
      <w:tr>
        <w:tc>
          <w:tcPr>
            <w:tcW w:type="dxa" w:w="1234"/>
          </w:tcPr>
          <w:p>
            <w:r>
              <w:t>Total</w:t>
            </w:r>
          </w:p>
        </w:tc>
        <w:tc>
          <w:tcPr>
            <w:tcW w:type="dxa" w:w="1234"/>
          </w:tcPr>
          <w:p>
            <w:r>
              <w:t>100%</w:t>
            </w:r>
          </w:p>
        </w:tc>
        <w:tc>
          <w:tcPr>
            <w:tcW w:type="dxa" w:w="1234"/>
          </w:tcPr>
          <w:p>
            <w:r>
              <w:t>60.11%</w:t>
            </w:r>
          </w:p>
        </w:tc>
        <w:tc>
          <w:tcPr>
            <w:tcW w:type="dxa" w:w="1234"/>
          </w:tcPr>
          <w:p>
            <w:r>
              <w:t>100%</w:t>
            </w:r>
          </w:p>
        </w:tc>
        <w:tc>
          <w:tcPr>
            <w:tcW w:type="dxa" w:w="1234"/>
          </w:tcPr>
          <w:p>
            <w:r>
              <w:t>39.89%</w:t>
            </w:r>
          </w:p>
        </w:tc>
        <w:tc>
          <w:tcPr>
            <w:tcW w:type="dxa" w:w="1234"/>
          </w:tcPr>
          <w:p>
            <w:r>
              <w:t>100%</w:t>
            </w:r>
          </w:p>
        </w:tc>
        <w:tc>
          <w:tcPr>
            <w:tcW w:type="dxa" w:w="1234"/>
          </w:tcPr>
          <w:p>
            <w:r>
              <w:t>6876</w:t>
            </w:r>
          </w:p>
        </w:tc>
      </w:tr>
    </w:tbl>
    <w:p/>
    <w:p>
      <w:pPr>
        <w:pStyle w:val="Heading2"/>
      </w:pPr>
      <w:r>
        <w:t>Análisis descriptivo (utiliza_fuente)</w:t>
      </w:r>
    </w:p>
    <w:p>
      <w:r>
        <w:t>El análisis de la tabla de contingencia revela una marcada dependencia entre las categorías de la variable (1.0 y 2.0) y el periodo de uso ('2017 a 2021' vs. '2024'), sugiriendo un cambio significativo en los patrones de comportamiento o adopción a lo largo del tiempo. Globalmente, la categoría 1.0 constituye el 60.11% del total de observaciones, mientras que la categoría 2.0 representa el 39.89%. Sin embargo, la comparación entre períodos demuestra una dinámica de reemplazo o transformación de la utilización. Específicamente, en el periodo de 2017 a 2021, la categoría 1.0 dominaba significativamente (77.30% de las instancias registradas), en contraste con el año 2024, donde su participación cae drásticamente al 22.70%.</w:t>
        <w:br/>
        <w:br/>
        <w:t>Este patrón de disminución de la categoría 1.0 y el aumento paralelo de la categoría 2.0 en el periodo más reciente constituye el hallazgo más destacado. Mientras que en el pasado el uso de la categoría 2.0 rondaba el 52.79% del total, en 2024 su prevalencia se dispara al 83.01%. Esta asimetría temporal sugiere que las condiciones contextuales o la evolución tecnológica han impulsado una migración masiva de la utilización desde el tipo de recurso asociado a 1.0 hacia el asociado a 2.0. Estos hallazgos son cruciales para entender si el cambio observado representa una obsolescencia del patrón antiguo o una consolidación de una nueva norma de uso.</w:t>
      </w:r>
    </w:p>
    <w:p>
      <w:r>
        <w:br w:type="page"/>
      </w:r>
    </w:p>
    <w:p>
      <w:pPr>
        <w:pStyle w:val="Heading1"/>
      </w:pPr>
      <w:r>
        <w:t>Distribución: Numero declaraciones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Numero declaraciones</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0.0</w:t>
            </w:r>
          </w:p>
        </w:tc>
        <w:tc>
          <w:tcPr>
            <w:tcW w:type="dxa" w:w="1234"/>
          </w:tcPr>
          <w:p>
            <w:r>
              <w:t>38.40%</w:t>
            </w:r>
          </w:p>
        </w:tc>
        <w:tc>
          <w:tcPr>
            <w:tcW w:type="dxa" w:w="1234"/>
          </w:tcPr>
          <w:p>
            <w:r>
              <w:t>77.30%</w:t>
            </w:r>
          </w:p>
        </w:tc>
        <w:tc>
          <w:tcPr>
            <w:tcW w:type="dxa" w:w="1234"/>
          </w:tcPr>
          <w:p>
            <w:r>
              <w:t>16.99%</w:t>
            </w:r>
          </w:p>
        </w:tc>
        <w:tc>
          <w:tcPr>
            <w:tcW w:type="dxa" w:w="1234"/>
          </w:tcPr>
          <w:p>
            <w:r>
              <w:t>22.70%</w:t>
            </w:r>
          </w:p>
        </w:tc>
        <w:tc>
          <w:tcPr>
            <w:tcW w:type="dxa" w:w="1234"/>
          </w:tcPr>
          <w:p>
            <w:r>
              <w:t>29.86%</w:t>
            </w:r>
          </w:p>
        </w:tc>
        <w:tc>
          <w:tcPr>
            <w:tcW w:type="dxa" w:w="1234"/>
          </w:tcPr>
          <w:p>
            <w:r>
              <w:t>2053</w:t>
            </w:r>
          </w:p>
        </w:tc>
      </w:tr>
      <w:tr>
        <w:tc>
          <w:tcPr>
            <w:tcW w:type="dxa" w:w="1234"/>
          </w:tcPr>
          <w:p>
            <w:r>
              <w:t>1.0</w:t>
            </w:r>
          </w:p>
        </w:tc>
        <w:tc>
          <w:tcPr>
            <w:tcW w:type="dxa" w:w="1234"/>
          </w:tcPr>
          <w:p>
            <w:r>
              <w:t>32.71%</w:t>
            </w:r>
          </w:p>
        </w:tc>
        <w:tc>
          <w:tcPr>
            <w:tcW w:type="dxa" w:w="1234"/>
          </w:tcPr>
          <w:p>
            <w:r>
              <w:t>63.98%</w:t>
            </w:r>
          </w:p>
        </w:tc>
        <w:tc>
          <w:tcPr>
            <w:tcW w:type="dxa" w:w="1234"/>
          </w:tcPr>
          <w:p>
            <w:r>
              <w:t>27.74%</w:t>
            </w:r>
          </w:p>
        </w:tc>
        <w:tc>
          <w:tcPr>
            <w:tcW w:type="dxa" w:w="1234"/>
          </w:tcPr>
          <w:p>
            <w:r>
              <w:t>36.02%</w:t>
            </w:r>
          </w:p>
        </w:tc>
        <w:tc>
          <w:tcPr>
            <w:tcW w:type="dxa" w:w="1234"/>
          </w:tcPr>
          <w:p>
            <w:r>
              <w:t>30.73%</w:t>
            </w:r>
          </w:p>
        </w:tc>
        <w:tc>
          <w:tcPr>
            <w:tcW w:type="dxa" w:w="1234"/>
          </w:tcPr>
          <w:p>
            <w:r>
              <w:t>2113</w:t>
            </w:r>
          </w:p>
        </w:tc>
      </w:tr>
      <w:tr>
        <w:tc>
          <w:tcPr>
            <w:tcW w:type="dxa" w:w="1234"/>
          </w:tcPr>
          <w:p>
            <w:r>
              <w:t>2.0</w:t>
            </w:r>
          </w:p>
        </w:tc>
        <w:tc>
          <w:tcPr>
            <w:tcW w:type="dxa" w:w="1234"/>
          </w:tcPr>
          <w:p>
            <w:r>
              <w:t>12.17%</w:t>
            </w:r>
          </w:p>
        </w:tc>
        <w:tc>
          <w:tcPr>
            <w:tcW w:type="dxa" w:w="1234"/>
          </w:tcPr>
          <w:p>
            <w:r>
              <w:t>54.85%</w:t>
            </w:r>
          </w:p>
        </w:tc>
        <w:tc>
          <w:tcPr>
            <w:tcW w:type="dxa" w:w="1234"/>
          </w:tcPr>
          <w:p>
            <w:r>
              <w:t>15.09%</w:t>
            </w:r>
          </w:p>
        </w:tc>
        <w:tc>
          <w:tcPr>
            <w:tcW w:type="dxa" w:w="1234"/>
          </w:tcPr>
          <w:p>
            <w:r>
              <w:t>45.15%</w:t>
            </w:r>
          </w:p>
        </w:tc>
        <w:tc>
          <w:tcPr>
            <w:tcW w:type="dxa" w:w="1234"/>
          </w:tcPr>
          <w:p>
            <w:r>
              <w:t>13.34%</w:t>
            </w:r>
          </w:p>
        </w:tc>
        <w:tc>
          <w:tcPr>
            <w:tcW w:type="dxa" w:w="1234"/>
          </w:tcPr>
          <w:p>
            <w:r>
              <w:t>917</w:t>
            </w:r>
          </w:p>
        </w:tc>
      </w:tr>
      <w:tr>
        <w:tc>
          <w:tcPr>
            <w:tcW w:type="dxa" w:w="1234"/>
          </w:tcPr>
          <w:p>
            <w:r>
              <w:t>3.0</w:t>
            </w:r>
          </w:p>
        </w:tc>
        <w:tc>
          <w:tcPr>
            <w:tcW w:type="dxa" w:w="1234"/>
          </w:tcPr>
          <w:p>
            <w:r>
              <w:t>6.34%</w:t>
            </w:r>
          </w:p>
        </w:tc>
        <w:tc>
          <w:tcPr>
            <w:tcW w:type="dxa" w:w="1234"/>
          </w:tcPr>
          <w:p>
            <w:r>
              <w:t>47.04%</w:t>
            </w:r>
          </w:p>
        </w:tc>
        <w:tc>
          <w:tcPr>
            <w:tcW w:type="dxa" w:w="1234"/>
          </w:tcPr>
          <w:p>
            <w:r>
              <w:t>10.75%</w:t>
            </w:r>
          </w:p>
        </w:tc>
        <w:tc>
          <w:tcPr>
            <w:tcW w:type="dxa" w:w="1234"/>
          </w:tcPr>
          <w:p>
            <w:r>
              <w:t>52.96%</w:t>
            </w:r>
          </w:p>
        </w:tc>
        <w:tc>
          <w:tcPr>
            <w:tcW w:type="dxa" w:w="1234"/>
          </w:tcPr>
          <w:p>
            <w:r>
              <w:t>8.10%</w:t>
            </w:r>
          </w:p>
        </w:tc>
        <w:tc>
          <w:tcPr>
            <w:tcW w:type="dxa" w:w="1234"/>
          </w:tcPr>
          <w:p>
            <w:r>
              <w:t>557</w:t>
            </w:r>
          </w:p>
        </w:tc>
      </w:tr>
      <w:tr>
        <w:tc>
          <w:tcPr>
            <w:tcW w:type="dxa" w:w="1234"/>
          </w:tcPr>
          <w:p>
            <w:r>
              <w:t>4.0</w:t>
            </w:r>
          </w:p>
        </w:tc>
        <w:tc>
          <w:tcPr>
            <w:tcW w:type="dxa" w:w="1234"/>
          </w:tcPr>
          <w:p>
            <w:r>
              <w:t>0.07%</w:t>
            </w:r>
          </w:p>
        </w:tc>
        <w:tc>
          <w:tcPr>
            <w:tcW w:type="dxa" w:w="1234"/>
          </w:tcPr>
          <w:p>
            <w:r>
              <w:t>1.39%</w:t>
            </w:r>
          </w:p>
        </w:tc>
        <w:tc>
          <w:tcPr>
            <w:tcW w:type="dxa" w:w="1234"/>
          </w:tcPr>
          <w:p>
            <w:r>
              <w:t>7.77%</w:t>
            </w:r>
          </w:p>
        </w:tc>
        <w:tc>
          <w:tcPr>
            <w:tcW w:type="dxa" w:w="1234"/>
          </w:tcPr>
          <w:p>
            <w:r>
              <w:t>98.61%</w:t>
            </w:r>
          </w:p>
        </w:tc>
        <w:tc>
          <w:tcPr>
            <w:tcW w:type="dxa" w:w="1234"/>
          </w:tcPr>
          <w:p>
            <w:r>
              <w:t>3.14%</w:t>
            </w:r>
          </w:p>
        </w:tc>
        <w:tc>
          <w:tcPr>
            <w:tcW w:type="dxa" w:w="1234"/>
          </w:tcPr>
          <w:p>
            <w:r>
              <w:t>216</w:t>
            </w:r>
          </w:p>
        </w:tc>
      </w:tr>
      <w:tr>
        <w:tc>
          <w:tcPr>
            <w:tcW w:type="dxa" w:w="1234"/>
          </w:tcPr>
          <w:p>
            <w:r>
              <w:t>5.0</w:t>
            </w:r>
          </w:p>
        </w:tc>
        <w:tc>
          <w:tcPr>
            <w:tcW w:type="dxa" w:w="1234"/>
          </w:tcPr>
          <w:p>
            <w:r>
              <w:t>6.58%</w:t>
            </w:r>
          </w:p>
        </w:tc>
        <w:tc>
          <w:tcPr>
            <w:tcW w:type="dxa" w:w="1234"/>
          </w:tcPr>
          <w:p>
            <w:r>
              <w:t>65.23%</w:t>
            </w:r>
          </w:p>
        </w:tc>
        <w:tc>
          <w:tcPr>
            <w:tcW w:type="dxa" w:w="1234"/>
          </w:tcPr>
          <w:p>
            <w:r>
              <w:t>5.29%</w:t>
            </w:r>
          </w:p>
        </w:tc>
        <w:tc>
          <w:tcPr>
            <w:tcW w:type="dxa" w:w="1234"/>
          </w:tcPr>
          <w:p>
            <w:r>
              <w:t>34.77%</w:t>
            </w:r>
          </w:p>
        </w:tc>
        <w:tc>
          <w:tcPr>
            <w:tcW w:type="dxa" w:w="1234"/>
          </w:tcPr>
          <w:p>
            <w:r>
              <w:t>6.06%</w:t>
            </w:r>
          </w:p>
        </w:tc>
        <w:tc>
          <w:tcPr>
            <w:tcW w:type="dxa" w:w="1234"/>
          </w:tcPr>
          <w:p>
            <w:r>
              <w:t>417</w:t>
            </w:r>
          </w:p>
        </w:tc>
      </w:tr>
      <w:tr>
        <w:tc>
          <w:tcPr>
            <w:tcW w:type="dxa" w:w="1234"/>
          </w:tcPr>
          <w:p>
            <w:r>
              <w:t>6.0</w:t>
            </w:r>
          </w:p>
        </w:tc>
        <w:tc>
          <w:tcPr>
            <w:tcW w:type="dxa" w:w="1234"/>
          </w:tcPr>
          <w:p>
            <w:r>
              <w:t>1.35%</w:t>
            </w:r>
          </w:p>
        </w:tc>
        <w:tc>
          <w:tcPr>
            <w:tcW w:type="dxa" w:w="1234"/>
          </w:tcPr>
          <w:p>
            <w:r>
              <w:t>35.90%</w:t>
            </w:r>
          </w:p>
        </w:tc>
        <w:tc>
          <w:tcPr>
            <w:tcW w:type="dxa" w:w="1234"/>
          </w:tcPr>
          <w:p>
            <w:r>
              <w:t>3.65%</w:t>
            </w:r>
          </w:p>
        </w:tc>
        <w:tc>
          <w:tcPr>
            <w:tcW w:type="dxa" w:w="1234"/>
          </w:tcPr>
          <w:p>
            <w:r>
              <w:t>64.10%</w:t>
            </w:r>
          </w:p>
        </w:tc>
        <w:tc>
          <w:tcPr>
            <w:tcW w:type="dxa" w:w="1234"/>
          </w:tcPr>
          <w:p>
            <w:r>
              <w:t>2.27%</w:t>
            </w:r>
          </w:p>
        </w:tc>
        <w:tc>
          <w:tcPr>
            <w:tcW w:type="dxa" w:w="1234"/>
          </w:tcPr>
          <w:p>
            <w:r>
              <w:t>156</w:t>
            </w:r>
          </w:p>
        </w:tc>
      </w:tr>
      <w:tr>
        <w:tc>
          <w:tcPr>
            <w:tcW w:type="dxa" w:w="1234"/>
          </w:tcPr>
          <w:p>
            <w:r>
              <w:t>7.0</w:t>
            </w:r>
          </w:p>
        </w:tc>
        <w:tc>
          <w:tcPr>
            <w:tcW w:type="dxa" w:w="1234"/>
          </w:tcPr>
          <w:p>
            <w:r>
              <w:t>0.02%</w:t>
            </w:r>
          </w:p>
        </w:tc>
        <w:tc>
          <w:tcPr>
            <w:tcW w:type="dxa" w:w="1234"/>
          </w:tcPr>
          <w:p>
            <w:r>
              <w:t>1.01%</w:t>
            </w:r>
          </w:p>
        </w:tc>
        <w:tc>
          <w:tcPr>
            <w:tcW w:type="dxa" w:w="1234"/>
          </w:tcPr>
          <w:p>
            <w:r>
              <w:t>3.57%</w:t>
            </w:r>
          </w:p>
        </w:tc>
        <w:tc>
          <w:tcPr>
            <w:tcW w:type="dxa" w:w="1234"/>
          </w:tcPr>
          <w:p>
            <w:r>
              <w:t>98.99%</w:t>
            </w:r>
          </w:p>
        </w:tc>
        <w:tc>
          <w:tcPr>
            <w:tcW w:type="dxa" w:w="1234"/>
          </w:tcPr>
          <w:p>
            <w:r>
              <w:t>1.44%</w:t>
            </w:r>
          </w:p>
        </w:tc>
        <w:tc>
          <w:tcPr>
            <w:tcW w:type="dxa" w:w="1234"/>
          </w:tcPr>
          <w:p>
            <w:r>
              <w:t>99</w:t>
            </w:r>
          </w:p>
        </w:tc>
      </w:tr>
      <w:tr>
        <w:tc>
          <w:tcPr>
            <w:tcW w:type="dxa" w:w="1234"/>
          </w:tcPr>
          <w:p>
            <w:r>
              <w:t>8.0</w:t>
            </w:r>
          </w:p>
        </w:tc>
        <w:tc>
          <w:tcPr>
            <w:tcW w:type="dxa" w:w="1234"/>
          </w:tcPr>
          <w:p>
            <w:r>
              <w:t>1.26%</w:t>
            </w:r>
          </w:p>
        </w:tc>
        <w:tc>
          <w:tcPr>
            <w:tcW w:type="dxa" w:w="1234"/>
          </w:tcPr>
          <w:p>
            <w:r>
              <w:t>46.85%</w:t>
            </w:r>
          </w:p>
        </w:tc>
        <w:tc>
          <w:tcPr>
            <w:tcW w:type="dxa" w:w="1234"/>
          </w:tcPr>
          <w:p>
            <w:r>
              <w:t>2.15%</w:t>
            </w:r>
          </w:p>
        </w:tc>
        <w:tc>
          <w:tcPr>
            <w:tcW w:type="dxa" w:w="1234"/>
          </w:tcPr>
          <w:p>
            <w:r>
              <w:t>53.15%</w:t>
            </w:r>
          </w:p>
        </w:tc>
        <w:tc>
          <w:tcPr>
            <w:tcW w:type="dxa" w:w="1234"/>
          </w:tcPr>
          <w:p>
            <w:r>
              <w:t>1.61%</w:t>
            </w:r>
          </w:p>
        </w:tc>
        <w:tc>
          <w:tcPr>
            <w:tcW w:type="dxa" w:w="1234"/>
          </w:tcPr>
          <w:p>
            <w:r>
              <w:t>111</w:t>
            </w:r>
          </w:p>
        </w:tc>
      </w:tr>
      <w:tr>
        <w:tc>
          <w:tcPr>
            <w:tcW w:type="dxa" w:w="1234"/>
          </w:tcPr>
          <w:p>
            <w:r>
              <w:t>9.0</w:t>
            </w:r>
          </w:p>
        </w:tc>
        <w:tc>
          <w:tcPr>
            <w:tcW w:type="dxa" w:w="1234"/>
          </w:tcPr>
          <w:p>
            <w:r>
              <w:t>0.53%</w:t>
            </w:r>
          </w:p>
        </w:tc>
        <w:tc>
          <w:tcPr>
            <w:tcW w:type="dxa" w:w="1234"/>
          </w:tcPr>
          <w:p>
            <w:r>
              <w:t>28.95%</w:t>
            </w:r>
          </w:p>
        </w:tc>
        <w:tc>
          <w:tcPr>
            <w:tcW w:type="dxa" w:w="1234"/>
          </w:tcPr>
          <w:p>
            <w:r>
              <w:t>1.97%</w:t>
            </w:r>
          </w:p>
        </w:tc>
        <w:tc>
          <w:tcPr>
            <w:tcW w:type="dxa" w:w="1234"/>
          </w:tcPr>
          <w:p>
            <w:r>
              <w:t>71.05%</w:t>
            </w:r>
          </w:p>
        </w:tc>
        <w:tc>
          <w:tcPr>
            <w:tcW w:type="dxa" w:w="1234"/>
          </w:tcPr>
          <w:p>
            <w:r>
              <w:t>1.11%</w:t>
            </w:r>
          </w:p>
        </w:tc>
        <w:tc>
          <w:tcPr>
            <w:tcW w:type="dxa" w:w="1234"/>
          </w:tcPr>
          <w:p>
            <w:r>
              <w:t>76</w:t>
            </w:r>
          </w:p>
        </w:tc>
      </w:tr>
      <w:tr>
        <w:tc>
          <w:tcPr>
            <w:tcW w:type="dxa" w:w="1234"/>
          </w:tcPr>
          <w:p>
            <w:r>
              <w:t>10.0</w:t>
            </w:r>
          </w:p>
        </w:tc>
        <w:tc>
          <w:tcPr>
            <w:tcW w:type="dxa" w:w="1234"/>
          </w:tcPr>
          <w:p>
            <w:r>
              <w:t>0.02%</w:t>
            </w:r>
          </w:p>
        </w:tc>
        <w:tc>
          <w:tcPr>
            <w:tcW w:type="dxa" w:w="1234"/>
          </w:tcPr>
          <w:p>
            <w:r>
              <w:t>2.38%</w:t>
            </w:r>
          </w:p>
        </w:tc>
        <w:tc>
          <w:tcPr>
            <w:tcW w:type="dxa" w:w="1234"/>
          </w:tcPr>
          <w:p>
            <w:r>
              <w:t>1.49%</w:t>
            </w:r>
          </w:p>
        </w:tc>
        <w:tc>
          <w:tcPr>
            <w:tcW w:type="dxa" w:w="1234"/>
          </w:tcPr>
          <w:p>
            <w:r>
              <w:t>97.62%</w:t>
            </w:r>
          </w:p>
        </w:tc>
        <w:tc>
          <w:tcPr>
            <w:tcW w:type="dxa" w:w="1234"/>
          </w:tcPr>
          <w:p>
            <w:r>
              <w:t>0.61%</w:t>
            </w:r>
          </w:p>
        </w:tc>
        <w:tc>
          <w:tcPr>
            <w:tcW w:type="dxa" w:w="1234"/>
          </w:tcPr>
          <w:p>
            <w:r>
              <w:t>42</w:t>
            </w:r>
          </w:p>
        </w:tc>
      </w:tr>
      <w:tr>
        <w:tc>
          <w:tcPr>
            <w:tcW w:type="dxa" w:w="1234"/>
          </w:tcPr>
          <w:p>
            <w:r>
              <w:t>11.0</w:t>
            </w:r>
          </w:p>
        </w:tc>
        <w:tc>
          <w:tcPr>
            <w:tcW w:type="dxa" w:w="1234"/>
          </w:tcPr>
          <w:p>
            <w:r>
              <w:t>0.15%</w:t>
            </w:r>
          </w:p>
        </w:tc>
        <w:tc>
          <w:tcPr>
            <w:tcW w:type="dxa" w:w="1234"/>
          </w:tcPr>
          <w:p>
            <w:r>
              <w:t>15.00%</w:t>
            </w:r>
          </w:p>
        </w:tc>
        <w:tc>
          <w:tcPr>
            <w:tcW w:type="dxa" w:w="1234"/>
          </w:tcPr>
          <w:p>
            <w:r>
              <w:t>1.24%</w:t>
            </w:r>
          </w:p>
        </w:tc>
        <w:tc>
          <w:tcPr>
            <w:tcW w:type="dxa" w:w="1234"/>
          </w:tcPr>
          <w:p>
            <w:r>
              <w:t>85.00%</w:t>
            </w:r>
          </w:p>
        </w:tc>
        <w:tc>
          <w:tcPr>
            <w:tcW w:type="dxa" w:w="1234"/>
          </w:tcPr>
          <w:p>
            <w:r>
              <w:t>0.58%</w:t>
            </w:r>
          </w:p>
        </w:tc>
        <w:tc>
          <w:tcPr>
            <w:tcW w:type="dxa" w:w="1234"/>
          </w:tcPr>
          <w:p>
            <w:r>
              <w:t>40</w:t>
            </w:r>
          </w:p>
        </w:tc>
      </w:tr>
      <w:tr>
        <w:tc>
          <w:tcPr>
            <w:tcW w:type="dxa" w:w="1234"/>
          </w:tcPr>
          <w:p>
            <w:r>
              <w:t>12.0</w:t>
            </w:r>
          </w:p>
        </w:tc>
        <w:tc>
          <w:tcPr>
            <w:tcW w:type="dxa" w:w="1234"/>
          </w:tcPr>
          <w:p>
            <w:r>
              <w:t>0.15%</w:t>
            </w:r>
          </w:p>
        </w:tc>
        <w:tc>
          <w:tcPr>
            <w:tcW w:type="dxa" w:w="1234"/>
          </w:tcPr>
          <w:p>
            <w:r>
              <w:t>35.29%</w:t>
            </w:r>
          </w:p>
        </w:tc>
        <w:tc>
          <w:tcPr>
            <w:tcW w:type="dxa" w:w="1234"/>
          </w:tcPr>
          <w:p>
            <w:r>
              <w:t>0.40%</w:t>
            </w:r>
          </w:p>
        </w:tc>
        <w:tc>
          <w:tcPr>
            <w:tcW w:type="dxa" w:w="1234"/>
          </w:tcPr>
          <w:p>
            <w:r>
              <w:t>64.71%</w:t>
            </w:r>
          </w:p>
        </w:tc>
        <w:tc>
          <w:tcPr>
            <w:tcW w:type="dxa" w:w="1234"/>
          </w:tcPr>
          <w:p>
            <w:r>
              <w:t>0.25%</w:t>
            </w:r>
          </w:p>
        </w:tc>
        <w:tc>
          <w:tcPr>
            <w:tcW w:type="dxa" w:w="1234"/>
          </w:tcPr>
          <w:p>
            <w:r>
              <w:t>17</w:t>
            </w:r>
          </w:p>
        </w:tc>
      </w:tr>
      <w:tr>
        <w:tc>
          <w:tcPr>
            <w:tcW w:type="dxa" w:w="1234"/>
          </w:tcPr>
          <w:p>
            <w:r>
              <w:t>13.0</w:t>
            </w:r>
          </w:p>
        </w:tc>
        <w:tc>
          <w:tcPr>
            <w:tcW w:type="dxa" w:w="1234"/>
          </w:tcPr>
          <w:p>
            <w:r>
              <w:t>0.12%</w:t>
            </w:r>
          </w:p>
        </w:tc>
        <w:tc>
          <w:tcPr>
            <w:tcW w:type="dxa" w:w="1234"/>
          </w:tcPr>
          <w:p>
            <w:r>
              <w:t>22.73%</w:t>
            </w:r>
          </w:p>
        </w:tc>
        <w:tc>
          <w:tcPr>
            <w:tcW w:type="dxa" w:w="1234"/>
          </w:tcPr>
          <w:p>
            <w:r>
              <w:t>0.62%</w:t>
            </w:r>
          </w:p>
        </w:tc>
        <w:tc>
          <w:tcPr>
            <w:tcW w:type="dxa" w:w="1234"/>
          </w:tcPr>
          <w:p>
            <w:r>
              <w:t>77.27%</w:t>
            </w:r>
          </w:p>
        </w:tc>
        <w:tc>
          <w:tcPr>
            <w:tcW w:type="dxa" w:w="1234"/>
          </w:tcPr>
          <w:p>
            <w:r>
              <w:t>0.32%</w:t>
            </w:r>
          </w:p>
        </w:tc>
        <w:tc>
          <w:tcPr>
            <w:tcW w:type="dxa" w:w="1234"/>
          </w:tcPr>
          <w:p>
            <w:r>
              <w:t>22</w:t>
            </w:r>
          </w:p>
        </w:tc>
      </w:tr>
      <w:tr>
        <w:tc>
          <w:tcPr>
            <w:tcW w:type="dxa" w:w="1234"/>
          </w:tcPr>
          <w:p>
            <w:r>
              <w:t>14.0</w:t>
            </w:r>
          </w:p>
        </w:tc>
        <w:tc>
          <w:tcPr>
            <w:tcW w:type="dxa" w:w="1234"/>
          </w:tcPr>
          <w:p>
            <w:r>
              <w:t>0.05%</w:t>
            </w:r>
          </w:p>
        </w:tc>
        <w:tc>
          <w:tcPr>
            <w:tcW w:type="dxa" w:w="1234"/>
          </w:tcPr>
          <w:p>
            <w:r>
              <w:t>14.29%</w:t>
            </w:r>
          </w:p>
        </w:tc>
        <w:tc>
          <w:tcPr>
            <w:tcW w:type="dxa" w:w="1234"/>
          </w:tcPr>
          <w:p>
            <w:r>
              <w:t>0.44%</w:t>
            </w:r>
          </w:p>
        </w:tc>
        <w:tc>
          <w:tcPr>
            <w:tcW w:type="dxa" w:w="1234"/>
          </w:tcPr>
          <w:p>
            <w:r>
              <w:t>85.71%</w:t>
            </w:r>
          </w:p>
        </w:tc>
        <w:tc>
          <w:tcPr>
            <w:tcW w:type="dxa" w:w="1234"/>
          </w:tcPr>
          <w:p>
            <w:r>
              <w:t>0.20%</w:t>
            </w:r>
          </w:p>
        </w:tc>
        <w:tc>
          <w:tcPr>
            <w:tcW w:type="dxa" w:w="1234"/>
          </w:tcPr>
          <w:p>
            <w:r>
              <w:t>14</w:t>
            </w:r>
          </w:p>
        </w:tc>
      </w:tr>
      <w:tr>
        <w:tc>
          <w:tcPr>
            <w:tcW w:type="dxa" w:w="1234"/>
          </w:tcPr>
          <w:p>
            <w:r>
              <w:t>15.0</w:t>
            </w:r>
          </w:p>
        </w:tc>
        <w:tc>
          <w:tcPr>
            <w:tcW w:type="dxa" w:w="1234"/>
          </w:tcPr>
          <w:p>
            <w:r>
              <w:t>0.02%</w:t>
            </w:r>
          </w:p>
        </w:tc>
        <w:tc>
          <w:tcPr>
            <w:tcW w:type="dxa" w:w="1234"/>
          </w:tcPr>
          <w:p>
            <w:r>
              <w:t>11.11%</w:t>
            </w:r>
          </w:p>
        </w:tc>
        <w:tc>
          <w:tcPr>
            <w:tcW w:type="dxa" w:w="1234"/>
          </w:tcPr>
          <w:p>
            <w:r>
              <w:t>0.29%</w:t>
            </w:r>
          </w:p>
        </w:tc>
        <w:tc>
          <w:tcPr>
            <w:tcW w:type="dxa" w:w="1234"/>
          </w:tcPr>
          <w:p>
            <w:r>
              <w:t>88.89%</w:t>
            </w:r>
          </w:p>
        </w:tc>
        <w:tc>
          <w:tcPr>
            <w:tcW w:type="dxa" w:w="1234"/>
          </w:tcPr>
          <w:p>
            <w:r>
              <w:t>0.13%</w:t>
            </w:r>
          </w:p>
        </w:tc>
        <w:tc>
          <w:tcPr>
            <w:tcW w:type="dxa" w:w="1234"/>
          </w:tcPr>
          <w:p>
            <w:r>
              <w:t>9</w:t>
            </w:r>
          </w:p>
        </w:tc>
      </w:tr>
      <w:tr>
        <w:tc>
          <w:tcPr>
            <w:tcW w:type="dxa" w:w="1234"/>
          </w:tcPr>
          <w:p>
            <w:r>
              <w:t>16.0</w:t>
            </w:r>
          </w:p>
        </w:tc>
        <w:tc>
          <w:tcPr>
            <w:tcW w:type="dxa" w:w="1234"/>
          </w:tcPr>
          <w:p>
            <w:r>
              <w:t>0.00%</w:t>
            </w:r>
          </w:p>
        </w:tc>
        <w:tc>
          <w:tcPr>
            <w:tcW w:type="dxa" w:w="1234"/>
          </w:tcPr>
          <w:p>
            <w:r>
              <w:t>0.00%</w:t>
            </w:r>
          </w:p>
        </w:tc>
        <w:tc>
          <w:tcPr>
            <w:tcW w:type="dxa" w:w="1234"/>
          </w:tcPr>
          <w:p>
            <w:r>
              <w:t>0.15%</w:t>
            </w:r>
          </w:p>
        </w:tc>
        <w:tc>
          <w:tcPr>
            <w:tcW w:type="dxa" w:w="1234"/>
          </w:tcPr>
          <w:p>
            <w:r>
              <w:t>100.00%</w:t>
            </w:r>
          </w:p>
        </w:tc>
        <w:tc>
          <w:tcPr>
            <w:tcW w:type="dxa" w:w="1234"/>
          </w:tcPr>
          <w:p>
            <w:r>
              <w:t>0.06%</w:t>
            </w:r>
          </w:p>
        </w:tc>
        <w:tc>
          <w:tcPr>
            <w:tcW w:type="dxa" w:w="1234"/>
          </w:tcPr>
          <w:p>
            <w:r>
              <w:t>4</w:t>
            </w:r>
          </w:p>
        </w:tc>
      </w:tr>
      <w:tr>
        <w:tc>
          <w:tcPr>
            <w:tcW w:type="dxa" w:w="1234"/>
          </w:tcPr>
          <w:p>
            <w:r>
              <w:t>17.0</w:t>
            </w:r>
          </w:p>
        </w:tc>
        <w:tc>
          <w:tcPr>
            <w:tcW w:type="dxa" w:w="1234"/>
          </w:tcPr>
          <w:p>
            <w:r>
              <w:t>0.05%</w:t>
            </w:r>
          </w:p>
        </w:tc>
        <w:tc>
          <w:tcPr>
            <w:tcW w:type="dxa" w:w="1234"/>
          </w:tcPr>
          <w:p>
            <w:r>
              <w:t>66.67%</w:t>
            </w:r>
          </w:p>
        </w:tc>
        <w:tc>
          <w:tcPr>
            <w:tcW w:type="dxa" w:w="1234"/>
          </w:tcPr>
          <w:p>
            <w:r>
              <w:t>0.04%</w:t>
            </w:r>
          </w:p>
        </w:tc>
        <w:tc>
          <w:tcPr>
            <w:tcW w:type="dxa" w:w="1234"/>
          </w:tcPr>
          <w:p>
            <w:r>
              <w:t>33.33%</w:t>
            </w:r>
          </w:p>
        </w:tc>
        <w:tc>
          <w:tcPr>
            <w:tcW w:type="dxa" w:w="1234"/>
          </w:tcPr>
          <w:p>
            <w:r>
              <w:t>0.04%</w:t>
            </w:r>
          </w:p>
        </w:tc>
        <w:tc>
          <w:tcPr>
            <w:tcW w:type="dxa" w:w="1234"/>
          </w:tcPr>
          <w:p>
            <w:r>
              <w:t>3</w:t>
            </w:r>
          </w:p>
        </w:tc>
      </w:tr>
      <w:tr>
        <w:tc>
          <w:tcPr>
            <w:tcW w:type="dxa" w:w="1234"/>
          </w:tcPr>
          <w:p>
            <w:r>
              <w:t>19.0</w:t>
            </w:r>
          </w:p>
        </w:tc>
        <w:tc>
          <w:tcPr>
            <w:tcW w:type="dxa" w:w="1234"/>
          </w:tcPr>
          <w:p>
            <w:r>
              <w:t>0.00%</w:t>
            </w:r>
          </w:p>
        </w:tc>
        <w:tc>
          <w:tcPr>
            <w:tcW w:type="dxa" w:w="1234"/>
          </w:tcPr>
          <w:p>
            <w:r>
              <w:t>0.00%</w:t>
            </w:r>
          </w:p>
        </w:tc>
        <w:tc>
          <w:tcPr>
            <w:tcW w:type="dxa" w:w="1234"/>
          </w:tcPr>
          <w:p>
            <w:r>
              <w:t>0.15%</w:t>
            </w:r>
          </w:p>
        </w:tc>
        <w:tc>
          <w:tcPr>
            <w:tcW w:type="dxa" w:w="1234"/>
          </w:tcPr>
          <w:p>
            <w:r>
              <w:t>100.00%</w:t>
            </w:r>
          </w:p>
        </w:tc>
        <w:tc>
          <w:tcPr>
            <w:tcW w:type="dxa" w:w="1234"/>
          </w:tcPr>
          <w:p>
            <w:r>
              <w:t>0.06%</w:t>
            </w:r>
          </w:p>
        </w:tc>
        <w:tc>
          <w:tcPr>
            <w:tcW w:type="dxa" w:w="1234"/>
          </w:tcPr>
          <w:p>
            <w:r>
              <w:t>4</w:t>
            </w:r>
          </w:p>
        </w:tc>
      </w:tr>
      <w:tr>
        <w:tc>
          <w:tcPr>
            <w:tcW w:type="dxa" w:w="1234"/>
          </w:tcPr>
          <w:p>
            <w:r>
              <w:t>20.0</w:t>
            </w:r>
          </w:p>
        </w:tc>
        <w:tc>
          <w:tcPr>
            <w:tcW w:type="dxa" w:w="1234"/>
          </w:tcPr>
          <w:p>
            <w:r>
              <w:t>0.00%</w:t>
            </w:r>
          </w:p>
        </w:tc>
        <w:tc>
          <w:tcPr>
            <w:tcW w:type="dxa" w:w="1234"/>
          </w:tcPr>
          <w:p>
            <w:r>
              <w:t>0.00%</w:t>
            </w:r>
          </w:p>
        </w:tc>
        <w:tc>
          <w:tcPr>
            <w:tcW w:type="dxa" w:w="1234"/>
          </w:tcPr>
          <w:p>
            <w:r>
              <w:t>0.07%</w:t>
            </w:r>
          </w:p>
        </w:tc>
        <w:tc>
          <w:tcPr>
            <w:tcW w:type="dxa" w:w="1234"/>
          </w:tcPr>
          <w:p>
            <w:r>
              <w:t>100.00%</w:t>
            </w:r>
          </w:p>
        </w:tc>
        <w:tc>
          <w:tcPr>
            <w:tcW w:type="dxa" w:w="1234"/>
          </w:tcPr>
          <w:p>
            <w:r>
              <w:t>0.03%</w:t>
            </w:r>
          </w:p>
        </w:tc>
        <w:tc>
          <w:tcPr>
            <w:tcW w:type="dxa" w:w="1234"/>
          </w:tcPr>
          <w:p>
            <w:r>
              <w:t>2</w:t>
            </w:r>
          </w:p>
        </w:tc>
      </w:tr>
      <w:tr>
        <w:tc>
          <w:tcPr>
            <w:tcW w:type="dxa" w:w="1234"/>
          </w:tcPr>
          <w:p>
            <w:r>
              <w:t>22.0</w:t>
            </w:r>
          </w:p>
        </w:tc>
        <w:tc>
          <w:tcPr>
            <w:tcW w:type="dxa" w:w="1234"/>
          </w:tcPr>
          <w:p>
            <w:r>
              <w:t>0.00%</w:t>
            </w:r>
          </w:p>
        </w:tc>
        <w:tc>
          <w:tcPr>
            <w:tcW w:type="dxa" w:w="1234"/>
          </w:tcPr>
          <w:p>
            <w:r>
              <w:t>0.00%</w:t>
            </w:r>
          </w:p>
        </w:tc>
        <w:tc>
          <w:tcPr>
            <w:tcW w:type="dxa" w:w="1234"/>
          </w:tcPr>
          <w:p>
            <w:r>
              <w:t>0.04%</w:t>
            </w:r>
          </w:p>
        </w:tc>
        <w:tc>
          <w:tcPr>
            <w:tcW w:type="dxa" w:w="1234"/>
          </w:tcPr>
          <w:p>
            <w:r>
              <w:t>100.00%</w:t>
            </w:r>
          </w:p>
        </w:tc>
        <w:tc>
          <w:tcPr>
            <w:tcW w:type="dxa" w:w="1234"/>
          </w:tcPr>
          <w:p>
            <w:r>
              <w:t>0.01%</w:t>
            </w:r>
          </w:p>
        </w:tc>
        <w:tc>
          <w:tcPr>
            <w:tcW w:type="dxa" w:w="1234"/>
          </w:tcPr>
          <w:p>
            <w:r>
              <w:t>1</w:t>
            </w:r>
          </w:p>
        </w:tc>
      </w:tr>
      <w:tr>
        <w:tc>
          <w:tcPr>
            <w:tcW w:type="dxa" w:w="1234"/>
          </w:tcPr>
          <w:p>
            <w:r>
              <w:t>23.0</w:t>
            </w:r>
          </w:p>
        </w:tc>
        <w:tc>
          <w:tcPr>
            <w:tcW w:type="dxa" w:w="1234"/>
          </w:tcPr>
          <w:p>
            <w:r>
              <w:t>0.00%</w:t>
            </w:r>
          </w:p>
        </w:tc>
        <w:tc>
          <w:tcPr>
            <w:tcW w:type="dxa" w:w="1234"/>
          </w:tcPr>
          <w:p>
            <w:r>
              <w:t>0.00%</w:t>
            </w:r>
          </w:p>
        </w:tc>
        <w:tc>
          <w:tcPr>
            <w:tcW w:type="dxa" w:w="1234"/>
          </w:tcPr>
          <w:p>
            <w:r>
              <w:t>0.04%</w:t>
            </w:r>
          </w:p>
        </w:tc>
        <w:tc>
          <w:tcPr>
            <w:tcW w:type="dxa" w:w="1234"/>
          </w:tcPr>
          <w:p>
            <w:r>
              <w:t>100.00%</w:t>
            </w:r>
          </w:p>
        </w:tc>
        <w:tc>
          <w:tcPr>
            <w:tcW w:type="dxa" w:w="1234"/>
          </w:tcPr>
          <w:p>
            <w:r>
              <w:t>0.01%</w:t>
            </w:r>
          </w:p>
        </w:tc>
        <w:tc>
          <w:tcPr>
            <w:tcW w:type="dxa" w:w="1234"/>
          </w:tcPr>
          <w:p>
            <w:r>
              <w:t>1</w:t>
            </w:r>
          </w:p>
        </w:tc>
      </w:tr>
      <w:tr>
        <w:tc>
          <w:tcPr>
            <w:tcW w:type="dxa" w:w="1234"/>
          </w:tcPr>
          <w:p>
            <w:r>
              <w:t>30.0</w:t>
            </w:r>
          </w:p>
        </w:tc>
        <w:tc>
          <w:tcPr>
            <w:tcW w:type="dxa" w:w="1234"/>
          </w:tcPr>
          <w:p>
            <w:r>
              <w:t>0.00%</w:t>
            </w:r>
          </w:p>
        </w:tc>
        <w:tc>
          <w:tcPr>
            <w:tcW w:type="dxa" w:w="1234"/>
          </w:tcPr>
          <w:p>
            <w:r>
              <w:t>0.00%</w:t>
            </w:r>
          </w:p>
        </w:tc>
        <w:tc>
          <w:tcPr>
            <w:tcW w:type="dxa" w:w="1234"/>
          </w:tcPr>
          <w:p>
            <w:r>
              <w:t>0.04%</w:t>
            </w:r>
          </w:p>
        </w:tc>
        <w:tc>
          <w:tcPr>
            <w:tcW w:type="dxa" w:w="1234"/>
          </w:tcPr>
          <w:p>
            <w:r>
              <w:t>100.00%</w:t>
            </w:r>
          </w:p>
        </w:tc>
        <w:tc>
          <w:tcPr>
            <w:tcW w:type="dxa" w:w="1234"/>
          </w:tcPr>
          <w:p>
            <w:r>
              <w:t>0.01%</w:t>
            </w:r>
          </w:p>
        </w:tc>
        <w:tc>
          <w:tcPr>
            <w:tcW w:type="dxa" w:w="1234"/>
          </w:tcPr>
          <w:p>
            <w:r>
              <w:t>1</w:t>
            </w:r>
          </w:p>
        </w:tc>
      </w:tr>
      <w:tr>
        <w:tc>
          <w:tcPr>
            <w:tcW w:type="dxa" w:w="1234"/>
          </w:tcPr>
          <w:p>
            <w:r>
              <w:t>32.0</w:t>
            </w:r>
          </w:p>
        </w:tc>
        <w:tc>
          <w:tcPr>
            <w:tcW w:type="dxa" w:w="1234"/>
          </w:tcPr>
          <w:p>
            <w:r>
              <w:t>0.00%</w:t>
            </w:r>
          </w:p>
        </w:tc>
        <w:tc>
          <w:tcPr>
            <w:tcW w:type="dxa" w:w="1234"/>
          </w:tcPr>
          <w:p>
            <w:r>
              <w:t>0.00%</w:t>
            </w:r>
          </w:p>
        </w:tc>
        <w:tc>
          <w:tcPr>
            <w:tcW w:type="dxa" w:w="1234"/>
          </w:tcPr>
          <w:p>
            <w:r>
              <w:t>0.04%</w:t>
            </w:r>
          </w:p>
        </w:tc>
        <w:tc>
          <w:tcPr>
            <w:tcW w:type="dxa" w:w="1234"/>
          </w:tcPr>
          <w:p>
            <w:r>
              <w:t>100.00%</w:t>
            </w:r>
          </w:p>
        </w:tc>
        <w:tc>
          <w:tcPr>
            <w:tcW w:type="dxa" w:w="1234"/>
          </w:tcPr>
          <w:p>
            <w:r>
              <w:t>0.01%</w:t>
            </w:r>
          </w:p>
        </w:tc>
        <w:tc>
          <w:tcPr>
            <w:tcW w:type="dxa" w:w="1234"/>
          </w:tcPr>
          <w:p>
            <w:r>
              <w:t>1</w:t>
            </w:r>
          </w:p>
        </w:tc>
      </w:tr>
      <w:tr>
        <w:tc>
          <w:tcPr>
            <w:tcW w:type="dxa" w:w="1234"/>
          </w:tcPr>
          <w:p>
            <w:r>
              <w:t>Total</w:t>
            </w:r>
          </w:p>
        </w:tc>
        <w:tc>
          <w:tcPr>
            <w:tcW w:type="dxa" w:w="1234"/>
          </w:tcPr>
          <w:p>
            <w:r>
              <w:t>100%</w:t>
            </w:r>
          </w:p>
        </w:tc>
        <w:tc>
          <w:tcPr>
            <w:tcW w:type="dxa" w:w="1234"/>
          </w:tcPr>
          <w:p>
            <w:r>
              <w:t>60.11%</w:t>
            </w:r>
          </w:p>
        </w:tc>
        <w:tc>
          <w:tcPr>
            <w:tcW w:type="dxa" w:w="1234"/>
          </w:tcPr>
          <w:p>
            <w:r>
              <w:t>100%</w:t>
            </w:r>
          </w:p>
        </w:tc>
        <w:tc>
          <w:tcPr>
            <w:tcW w:type="dxa" w:w="1234"/>
          </w:tcPr>
          <w:p>
            <w:r>
              <w:t>39.89%</w:t>
            </w:r>
          </w:p>
        </w:tc>
        <w:tc>
          <w:tcPr>
            <w:tcW w:type="dxa" w:w="1234"/>
          </w:tcPr>
          <w:p>
            <w:r>
              <w:t>100%</w:t>
            </w:r>
          </w:p>
        </w:tc>
        <w:tc>
          <w:tcPr>
            <w:tcW w:type="dxa" w:w="1234"/>
          </w:tcPr>
          <w:p>
            <w:r>
              <w:t>6876</w:t>
            </w:r>
          </w:p>
        </w:tc>
      </w:tr>
    </w:tbl>
    <w:p/>
    <w:p>
      <w:pPr>
        <w:pStyle w:val="Heading2"/>
      </w:pPr>
      <w:r>
        <w:t>Análisis descriptivo (numero_declaraciones)</w:t>
      </w:r>
    </w:p>
    <w:p>
      <w:r>
        <w:t>El análisis de la tabla de contingencia revela una transformación significativa en la distribución de las declaraciones a lo largo del tiempo, sugiriendo un cambio en los patrones de comportamiento o la complejidad de las situaciones analizadas. Aunque los casos con cero o una declaración siguen constituyendo la mayor parte de la prevalencia histórica (2017-2021), el periodo de 2024 muestra un claro sesgo hacia el aumento de las declaraciones. Si bien la categoría de 0.0 declaraciones ha visto una marcada disminución proporcional (de 38.40% a 16.99%), esta reducción se compensa por un aumento desproporcionado en las categorías de declaraciones medias y altas.</w:t>
        <w:br/>
        <w:br/>
        <w:t>Específicamente, la proporción de casos que reportan 4 o más declaraciones ha incrementado notablemente en 2024. Mientras que en el periodo 2017-2021 estos casos representaban una cuota minoritaria, en 2024 alcanzan una prevalencia sustancialmente mayor, como se observa en el salto relativo en las categorías de 5.0 (crecimiento de 6.58% a 5.29%), 6.0 (de 1.35% a 3.65%) y 7.0 (de 0.02% a 3.57%). Esta evidencia sugiere una migración colectiva de la distribución: la muestra de 2024 no solo mantiene a sus casos más sencillos, sino que exhibe una mayor dispersión y complejidad, indicando potencialmente una mayor litigiosidad, un aumento en la complejidad de las estructuras reportadas, o un cambio en los parámetros de divulgación de información entre los períodos analizados.</w:t>
      </w:r>
    </w:p>
    <w:p>
      <w:r>
        <w:br w:type="page"/>
      </w:r>
    </w:p>
    <w:p>
      <w:pPr>
        <w:pStyle w:val="Heading1"/>
      </w:pPr>
      <w:r>
        <w:t>Distribución: Lenguaje sexista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Lenguaje sexista</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19.01%</w:t>
            </w:r>
          </w:p>
        </w:tc>
        <w:tc>
          <w:tcPr>
            <w:tcW w:type="dxa" w:w="1728"/>
          </w:tcPr>
          <w:p>
            <w:r>
              <w:t>100.00%</w:t>
            </w:r>
          </w:p>
        </w:tc>
        <w:tc>
          <w:tcPr>
            <w:tcW w:type="dxa" w:w="1728"/>
          </w:tcPr>
          <w:p>
            <w:r>
              <w:t>19.01%</w:t>
            </w:r>
          </w:p>
        </w:tc>
        <w:tc>
          <w:tcPr>
            <w:tcW w:type="dxa" w:w="1728"/>
          </w:tcPr>
          <w:p>
            <w:r>
              <w:t>250</w:t>
            </w:r>
          </w:p>
        </w:tc>
      </w:tr>
      <w:tr>
        <w:tc>
          <w:tcPr>
            <w:tcW w:type="dxa" w:w="1728"/>
          </w:tcPr>
          <w:p>
            <w:r>
              <w:t>2.0</w:t>
            </w:r>
          </w:p>
        </w:tc>
        <w:tc>
          <w:tcPr>
            <w:tcW w:type="dxa" w:w="1728"/>
          </w:tcPr>
          <w:p>
            <w:r>
              <w:t>80.99%</w:t>
            </w:r>
          </w:p>
        </w:tc>
        <w:tc>
          <w:tcPr>
            <w:tcW w:type="dxa" w:w="1728"/>
          </w:tcPr>
          <w:p>
            <w:r>
              <w:t>100.00%</w:t>
            </w:r>
          </w:p>
        </w:tc>
        <w:tc>
          <w:tcPr>
            <w:tcW w:type="dxa" w:w="1728"/>
          </w:tcPr>
          <w:p>
            <w:r>
              <w:t>80.99%</w:t>
            </w:r>
          </w:p>
        </w:tc>
        <w:tc>
          <w:tcPr>
            <w:tcW w:type="dxa" w:w="1728"/>
          </w:tcPr>
          <w:p>
            <w:r>
              <w:t>1065</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(lenguaje_sexista)</w:t>
      </w:r>
    </w:p>
    <w:p>
      <w:r>
        <w:t>El análisis de la tabla de contingencia revela una marcada asimetría en la distribución de las respuestas respecto al "Lenguaje sexista". De un total de 1315 observaciones, la categoría 2.0 exhibe una predominancia estadísticamente significativa, representando el 80.99% del universo de casos (N=1065). En contraste, la categoría 1.0 se mantiene como minoritaria, aportando únicamente el 19.01% restante de los registros (N=250). Esta distribución es altamente polarizada, lo que indica que la mayoría de las interacciones o muestras analizadas se agrupan consistentemente bajo el segundo nivel de frecuencia.</w:t>
        <w:br/>
        <w:br/>
        <w:t>Desde una perspectiva sociológica, esta disparidad en la prevalencia sugiere que la manifestación más común y dominante del fenómeno estudiado se correlaciona fuertemente con la categoría 2.0. La sobrerrepresentación de este nivel exige profundizar en las variables contextuales que sustentan dicha predominancia, determinando si esta alta frecuencia refleja una norma cultural de uso o si está determinada por factores estructurales en el ámbito de observación. La baja participación de la categoría 1.0, si bien significativa, debe interpretarse con cautela, considerando la posibilidad de que pueda estar sujeta a sesgos de respuesta o a nichos comunicativos menos frecuentes en la muestra total.</w:t>
      </w:r>
    </w:p>
    <w:p>
      <w:r>
        <w:br w:type="page"/>
      </w:r>
    </w:p>
    <w:p>
      <w:pPr>
        <w:pStyle w:val="Heading1"/>
      </w:pPr>
      <w:r>
        <w:t>Distribución: Masc generico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Masc generico</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18.94%</w:t>
            </w:r>
          </w:p>
        </w:tc>
        <w:tc>
          <w:tcPr>
            <w:tcW w:type="dxa" w:w="1728"/>
          </w:tcPr>
          <w:p>
            <w:r>
              <w:t>100.00%</w:t>
            </w:r>
          </w:p>
        </w:tc>
        <w:tc>
          <w:tcPr>
            <w:tcW w:type="dxa" w:w="1728"/>
          </w:tcPr>
          <w:p>
            <w:r>
              <w:t>18.94%</w:t>
            </w:r>
          </w:p>
        </w:tc>
        <w:tc>
          <w:tcPr>
            <w:tcW w:type="dxa" w:w="1728"/>
          </w:tcPr>
          <w:p>
            <w:r>
              <w:t>249</w:t>
            </w:r>
          </w:p>
        </w:tc>
      </w:tr>
      <w:tr>
        <w:tc>
          <w:tcPr>
            <w:tcW w:type="dxa" w:w="1728"/>
          </w:tcPr>
          <w:p>
            <w:r>
              <w:t>2.0</w:t>
            </w:r>
          </w:p>
        </w:tc>
        <w:tc>
          <w:tcPr>
            <w:tcW w:type="dxa" w:w="1728"/>
          </w:tcPr>
          <w:p>
            <w:r>
              <w:t>81.06%</w:t>
            </w:r>
          </w:p>
        </w:tc>
        <w:tc>
          <w:tcPr>
            <w:tcW w:type="dxa" w:w="1728"/>
          </w:tcPr>
          <w:p>
            <w:r>
              <w:t>100.00%</w:t>
            </w:r>
          </w:p>
        </w:tc>
        <w:tc>
          <w:tcPr>
            <w:tcW w:type="dxa" w:w="1728"/>
          </w:tcPr>
          <w:p>
            <w:r>
              <w:t>81.06%</w:t>
            </w:r>
          </w:p>
        </w:tc>
        <w:tc>
          <w:tcPr>
            <w:tcW w:type="dxa" w:w="1728"/>
          </w:tcPr>
          <w:p>
            <w:r>
              <w:t>1066</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(masc_generico)</w:t>
      </w:r>
    </w:p>
    <w:p>
      <w:r>
        <w:t>Los análisis de distribución arrojados por la tabla de contingencia evidencian una marcada disparidad en la distribución de la variable 'Masc generico'. Se observa que el 81.06% del total de la muestra (1066 casos) se concentra en la categoría 2.0, lo cual representa un predominio significativo y estructural dentro del conjunto de datos. Por el contrario, la categoría 1.0 capta una porción minoritaria, constituyendo solo el 18.94% (249 casos).</w:t>
        <w:br/>
        <w:br/>
        <w:t>Desde una perspectiva sociológica y de análisis de datos, esta marcada polarización o sesgo de la muestra es el resultado más destacable. Dicha alta concentración en la categoría 2.0 sugiere que las características o el constructo que esta variable intenta medir están fuertemente sesgados hacia un único patrón de comportamiento o identidad dentro de la población estudiada. Para profundizar el análisis, sería crucial investigar si esta distribución desequilibrada refleja una tendencia poblacional real o si existe un sesgo de muestreo, lo que podría requerir la aplicación de técnicas de ponderación o la contextualización de los resultados al perfil específico de los 1315 participantes.</w:t>
      </w:r>
    </w:p>
    <w:p>
      <w:r>
        <w:br w:type="page"/>
      </w:r>
    </w:p>
    <w:p>
      <w:pPr>
        <w:pStyle w:val="Heading1"/>
      </w:pPr>
      <w:r>
        <w:t>Distribución: Hombre denominar humanidad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Hombre denominar humanidad</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98.02%</w:t>
            </w:r>
          </w:p>
        </w:tc>
        <w:tc>
          <w:tcPr>
            <w:tcW w:type="dxa" w:w="1728"/>
          </w:tcPr>
          <w:p>
            <w:r>
              <w:t>100.00%</w:t>
            </w:r>
          </w:p>
        </w:tc>
        <w:tc>
          <w:tcPr>
            <w:tcW w:type="dxa" w:w="1728"/>
          </w:tcPr>
          <w:p>
            <w:r>
              <w:t>98.02%</w:t>
            </w:r>
          </w:p>
        </w:tc>
        <w:tc>
          <w:tcPr>
            <w:tcW w:type="dxa" w:w="1728"/>
          </w:tcPr>
          <w:p>
            <w:r>
              <w:t>1289</w:t>
            </w:r>
          </w:p>
        </w:tc>
      </w:tr>
      <w:tr>
        <w:tc>
          <w:tcPr>
            <w:tcW w:type="dxa" w:w="1728"/>
          </w:tcPr>
          <w:p>
            <w:r>
              <w:t>2.0</w:t>
            </w:r>
          </w:p>
        </w:tc>
        <w:tc>
          <w:tcPr>
            <w:tcW w:type="dxa" w:w="1728"/>
          </w:tcPr>
          <w:p>
            <w:r>
              <w:t>1.98%</w:t>
            </w:r>
          </w:p>
        </w:tc>
        <w:tc>
          <w:tcPr>
            <w:tcW w:type="dxa" w:w="1728"/>
          </w:tcPr>
          <w:p>
            <w:r>
              <w:t>100.00%</w:t>
            </w:r>
          </w:p>
        </w:tc>
        <w:tc>
          <w:tcPr>
            <w:tcW w:type="dxa" w:w="1728"/>
          </w:tcPr>
          <w:p>
            <w:r>
              <w:t>1.98%</w:t>
            </w:r>
          </w:p>
        </w:tc>
        <w:tc>
          <w:tcPr>
            <w:tcW w:type="dxa" w:w="1728"/>
          </w:tcPr>
          <w:p>
            <w:r>
              <w:t>26</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(hombre_denominar_humanidad)</w:t>
      </w:r>
    </w:p>
    <w:p>
      <w:r>
        <w:t>El análisis de la tabla de contingencia revela una distribución extremadamente sesgada, caracterizada por una marcada dominancia de la categoría asociada al nivel 1.0. Con un 98.02% de las observaciones totales, esta categoría concentra la gran mayoría de la población estudiada, lo que sugiere una alta homogeneidad o una fuerte adhesión de la muestra al estado representado por este nivel. Por el contrario, la categoría 2.0 representa un segmento residual, constituyendo únicamente el 1.98% de la frecuencia total.</w:t>
        <w:br/>
        <w:br/>
        <w:t>Esta disparidad porcentual es el hallazgo más significativo, ya que indica que cualquier análisis correlacional o estudio de tendencias basado en esta variable debe tener en cuenta el peso desproporcionado de la primera categoría. Sociológicamente, esta distribución podría señalar que el fenómeno estudiado está en una fase de alta estabilidad o normalización (dominancia 1.0), mientras que la categoría 2.0 podría interpretarse como un grupo minoritario, un subgrupo con características distintivas, o un indicativo de desviación de la norma. Se recomienda enfocar futuras investigaciones no solo en la persistencia de esta marcada brecha, sino también en el perfil cualitativo de las variables que caracterizan a este 1.98%, buscando identificar los factores determinantes de esta pequeña pero potencialmente crucial minoría.</w:t>
      </w:r>
    </w:p>
    <w:p>
      <w:r>
        <w:br w:type="page"/>
      </w:r>
    </w:p>
    <w:p>
      <w:pPr>
        <w:pStyle w:val="Heading1"/>
      </w:pPr>
      <w:r>
        <w:t>Distribución: Uso dual zorr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Uso dual zorr</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99.85%</w:t>
            </w:r>
          </w:p>
        </w:tc>
        <w:tc>
          <w:tcPr>
            <w:tcW w:type="dxa" w:w="1728"/>
          </w:tcPr>
          <w:p>
            <w:r>
              <w:t>100.00%</w:t>
            </w:r>
          </w:p>
        </w:tc>
        <w:tc>
          <w:tcPr>
            <w:tcW w:type="dxa" w:w="1728"/>
          </w:tcPr>
          <w:p>
            <w:r>
              <w:t>99.85%</w:t>
            </w:r>
          </w:p>
        </w:tc>
        <w:tc>
          <w:tcPr>
            <w:tcW w:type="dxa" w:w="1728"/>
          </w:tcPr>
          <w:p>
            <w:r>
              <w:t>1313</w:t>
            </w:r>
          </w:p>
        </w:tc>
      </w:tr>
      <w:tr>
        <w:tc>
          <w:tcPr>
            <w:tcW w:type="dxa" w:w="1728"/>
          </w:tcPr>
          <w:p>
            <w:r>
              <w:t>2.0</w:t>
            </w:r>
          </w:p>
        </w:tc>
        <w:tc>
          <w:tcPr>
            <w:tcW w:type="dxa" w:w="1728"/>
          </w:tcPr>
          <w:p>
            <w:r>
              <w:t>0.15%</w:t>
            </w:r>
          </w:p>
        </w:tc>
        <w:tc>
          <w:tcPr>
            <w:tcW w:type="dxa" w:w="1728"/>
          </w:tcPr>
          <w:p>
            <w:r>
              <w:t>100.00%</w:t>
            </w:r>
          </w:p>
        </w:tc>
        <w:tc>
          <w:tcPr>
            <w:tcW w:type="dxa" w:w="1728"/>
          </w:tcPr>
          <w:p>
            <w:r>
              <w:t>0.15%</w:t>
            </w:r>
          </w:p>
        </w:tc>
        <w:tc>
          <w:tcPr>
            <w:tcW w:type="dxa" w:w="1728"/>
          </w:tcPr>
          <w:p>
            <w:r>
              <w:t>2</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(uso_dual_zorr)</w:t>
      </w:r>
    </w:p>
    <w:p>
      <w:r>
        <w:t>Los resultados presentados en la tabla de contingencia evidencian un marcado desequilibrio en la distribución de la variable "Uso dual", lo cual es el hallazgo más significativo del análisis. Se observa una concentración casi absoluta de los casos en la categoría 1.0, la cual alberga la vasta mayoría de las observaciones (1313 registros, representando el 99.85% del total).</w:t>
        <w:br/>
        <w:br/>
        <w:t>Esta distribución sugiere que el fenómeno medido o el comportamiento asociado con el uso dual tiende predominantemente hacia un nivel bajo o básico (1.0). En contraste, la categoría 2.0, si bien es estadísticamente perceptible, constituye una minoría extremadamente reducida, aportando solo 2 casos (0.15% del total). Desde una perspectiva sociológica y estadística, este perfil de datos indica una fuerte homogeneidad en la muestra, con una tendencia casi unánime hacia el nivel más bajo de la variable, lo que requiere una profundización en los factores que mantienen tan pequeña la penetración de la categoría superior (2.0).</w:t>
      </w:r>
    </w:p>
    <w:p>
      <w:r>
        <w:br w:type="page"/>
      </w:r>
    </w:p>
    <w:p>
      <w:pPr>
        <w:pStyle w:val="Heading1"/>
      </w:pPr>
      <w:r>
        <w:t>Distribución: Uso cargo mujer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Uso cargo mujer</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81.98%</w:t>
            </w:r>
          </w:p>
        </w:tc>
        <w:tc>
          <w:tcPr>
            <w:tcW w:type="dxa" w:w="1728"/>
          </w:tcPr>
          <w:p>
            <w:r>
              <w:t>100.00%</w:t>
            </w:r>
          </w:p>
        </w:tc>
        <w:tc>
          <w:tcPr>
            <w:tcW w:type="dxa" w:w="1728"/>
          </w:tcPr>
          <w:p>
            <w:r>
              <w:t>81.98%</w:t>
            </w:r>
          </w:p>
        </w:tc>
        <w:tc>
          <w:tcPr>
            <w:tcW w:type="dxa" w:w="1728"/>
          </w:tcPr>
          <w:p>
            <w:r>
              <w:t>1078</w:t>
            </w:r>
          </w:p>
        </w:tc>
      </w:tr>
      <w:tr>
        <w:tc>
          <w:tcPr>
            <w:tcW w:type="dxa" w:w="1728"/>
          </w:tcPr>
          <w:p>
            <w:r>
              <w:t>2.0</w:t>
            </w:r>
          </w:p>
        </w:tc>
        <w:tc>
          <w:tcPr>
            <w:tcW w:type="dxa" w:w="1728"/>
          </w:tcPr>
          <w:p>
            <w:r>
              <w:t>18.02%</w:t>
            </w:r>
          </w:p>
        </w:tc>
        <w:tc>
          <w:tcPr>
            <w:tcW w:type="dxa" w:w="1728"/>
          </w:tcPr>
          <w:p>
            <w:r>
              <w:t>100.00%</w:t>
            </w:r>
          </w:p>
        </w:tc>
        <w:tc>
          <w:tcPr>
            <w:tcW w:type="dxa" w:w="1728"/>
          </w:tcPr>
          <w:p>
            <w:r>
              <w:t>18.02%</w:t>
            </w:r>
          </w:p>
        </w:tc>
        <w:tc>
          <w:tcPr>
            <w:tcW w:type="dxa" w:w="1728"/>
          </w:tcPr>
          <w:p>
            <w:r>
              <w:t>237</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(uso_cargo_mujer)</w:t>
      </w:r>
    </w:p>
    <w:p>
      <w:r>
        <w:t>El análisis de la tabla de contingencia revela una marcada disparidad cuantitativa en la distribución de las frecuencias observadas entre los dos grupos de uso de cargo mujer. Específicamente, el segmento asociado al valor 1.0 constituye el núcleo de la muestra, aportando la gran mayoría de las frecuencias absolutas (N=1078). Esto significa que este grupo representa el 81.98% del total poblacional analizado (N=1315).</w:t>
        <w:br/>
        <w:br/>
        <w:t>Esta sobrerrepresentación del primer grupo (1.0) genera una distribución altamente sesgada. El segundo segmento (valor 2.0), aunque presente, solo alcanza el 18.02% de la totalidad de los casos. Desde una perspectiva sociológica, esta concentración sugiere que el fenómeno o el patrón de uso asociado al valor 1.0 es el dominante o el más prevalente en la población estudiada, mientras que el grupo 2.0 opera como una minoría significativa, pero notablemente subordinada en términos de magnitud estadística. Es crucial considerar esta asimetría al interpretar cualquier correlación, ya que la alta frecuencia del grupo dominante podría influir en la significancia de los resultados observados en el grupo minoritario.</w:t>
      </w:r>
    </w:p>
    <w:p>
      <w:r>
        <w:br w:type="page"/>
      </w:r>
    </w:p>
    <w:p>
      <w:pPr>
        <w:pStyle w:val="Heading1"/>
      </w:pPr>
      <w:r>
        <w:t>Distribución: Sexismo discurso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Sexismo discurso</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57.26%</w:t>
            </w:r>
          </w:p>
        </w:tc>
        <w:tc>
          <w:tcPr>
            <w:tcW w:type="dxa" w:w="1728"/>
          </w:tcPr>
          <w:p>
            <w:r>
              <w:t>100.00%</w:t>
            </w:r>
          </w:p>
        </w:tc>
        <w:tc>
          <w:tcPr>
            <w:tcW w:type="dxa" w:w="1728"/>
          </w:tcPr>
          <w:p>
            <w:r>
              <w:t>57.26%</w:t>
            </w:r>
          </w:p>
        </w:tc>
        <w:tc>
          <w:tcPr>
            <w:tcW w:type="dxa" w:w="1728"/>
          </w:tcPr>
          <w:p>
            <w:r>
              <w:t>753</w:t>
            </w:r>
          </w:p>
        </w:tc>
      </w:tr>
      <w:tr>
        <w:tc>
          <w:tcPr>
            <w:tcW w:type="dxa" w:w="1728"/>
          </w:tcPr>
          <w:p>
            <w:r>
              <w:t>2.0</w:t>
            </w:r>
          </w:p>
        </w:tc>
        <w:tc>
          <w:tcPr>
            <w:tcW w:type="dxa" w:w="1728"/>
          </w:tcPr>
          <w:p>
            <w:r>
              <w:t>42.74%</w:t>
            </w:r>
          </w:p>
        </w:tc>
        <w:tc>
          <w:tcPr>
            <w:tcW w:type="dxa" w:w="1728"/>
          </w:tcPr>
          <w:p>
            <w:r>
              <w:t>100.00%</w:t>
            </w:r>
          </w:p>
        </w:tc>
        <w:tc>
          <w:tcPr>
            <w:tcW w:type="dxa" w:w="1728"/>
          </w:tcPr>
          <w:p>
            <w:r>
              <w:t>42.74%</w:t>
            </w:r>
          </w:p>
        </w:tc>
        <w:tc>
          <w:tcPr>
            <w:tcW w:type="dxa" w:w="1728"/>
          </w:tcPr>
          <w:p>
            <w:r>
              <w:t>562</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(sexismo_discurso)</w:t>
      </w:r>
    </w:p>
    <w:p>
      <w:r>
        <w:t>El análisis de las frecuencias absolutas y porcentuales revela una clara distribución asimétrica en la variable "Sexismo discurso". El patrón de respuesta está significativamente inclinado hacia la categoría 1.0, la cual concentra la mayoría de las observaciones con 753 frecuencias, lo que representa el 57.26% del total de la muestra (N=1315). En contraste, la categoría 2.0, aunque significativa en número, solo alcanza 562 frecuencias, constituyendo el 42.74% restante.</w:t>
        <w:br/>
        <w:br/>
        <w:t>Esta marcada disparidad porcentual (una diferencia de más del 14.5 puntos porcentuales) sugiere que el discurso analizado está predominantemente asociado al tipo o intensidad que representa la categoría 1.0. Desde una perspectiva sociolingüística, este predominio estadístico implica que la manifestación del discurso sexista está fuertemente sesgada hacia ciertos patrones discursivos, lo que requiere una investigación cualitativa más profunda para determinar si esta sobrerrepresentación refleja la frecuencia natural en el corpus estudiado o si está mediada por sesgos en la fuente de muestreo.</w:t>
      </w:r>
    </w:p>
    <w:p>
      <w:r>
        <w:br w:type="page"/>
      </w:r>
    </w:p>
    <w:p>
      <w:pPr>
        <w:pStyle w:val="Heading1"/>
      </w:pPr>
      <w:r>
        <w:t>Distribución: Androcentrismo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Androcentrismo</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60.30%</w:t>
            </w:r>
          </w:p>
        </w:tc>
        <w:tc>
          <w:tcPr>
            <w:tcW w:type="dxa" w:w="1728"/>
          </w:tcPr>
          <w:p>
            <w:r>
              <w:t>100.00%</w:t>
            </w:r>
          </w:p>
        </w:tc>
        <w:tc>
          <w:tcPr>
            <w:tcW w:type="dxa" w:w="1728"/>
          </w:tcPr>
          <w:p>
            <w:r>
              <w:t>60.30%</w:t>
            </w:r>
          </w:p>
        </w:tc>
        <w:tc>
          <w:tcPr>
            <w:tcW w:type="dxa" w:w="1728"/>
          </w:tcPr>
          <w:p>
            <w:r>
              <w:t>793</w:t>
            </w:r>
          </w:p>
        </w:tc>
      </w:tr>
      <w:tr>
        <w:tc>
          <w:tcPr>
            <w:tcW w:type="dxa" w:w="1728"/>
          </w:tcPr>
          <w:p>
            <w:r>
              <w:t>2,0</w:t>
            </w:r>
          </w:p>
        </w:tc>
        <w:tc>
          <w:tcPr>
            <w:tcW w:type="dxa" w:w="1728"/>
          </w:tcPr>
          <w:p>
            <w:r>
              <w:t>39.70%</w:t>
            </w:r>
          </w:p>
        </w:tc>
        <w:tc>
          <w:tcPr>
            <w:tcW w:type="dxa" w:w="1728"/>
          </w:tcPr>
          <w:p>
            <w:r>
              <w:t>100.00%</w:t>
            </w:r>
          </w:p>
        </w:tc>
        <w:tc>
          <w:tcPr>
            <w:tcW w:type="dxa" w:w="1728"/>
          </w:tcPr>
          <w:p>
            <w:r>
              <w:t>39.70%</w:t>
            </w:r>
          </w:p>
        </w:tc>
        <w:tc>
          <w:tcPr>
            <w:tcW w:type="dxa" w:w="1728"/>
          </w:tcPr>
          <w:p>
            <w:r>
              <w:t>522</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(androcentrismo)</w:t>
      </w:r>
    </w:p>
    <w:p>
      <w:r>
        <w:t>El análisis de esta tabla de contingencia revela una distribución marcadamente asimétrica en relación con el constructo de "Androcentrismo". Globalmente, se observa una tendencia predominante hacia el nivel 1.0, el cual concentra el 60.30% del total de casos ($N=793$). En contraste, el nivel 2.0 acumula el 39.70% de las observaciones restantes. Esta disparidad de aproximadamente 20 puntos porcentuales sugiere que el perfil general de la muestra está significativamente sesgado hacia la manifestación de las características asociadas con el nivel 1.0.</w:t>
        <w:br/>
        <w:br/>
        <w:t>Desde una perspectiva sociológica, esta distribución sesgada es un dato metodológico crucial, pues indica que la población estudiada presenta una mayor exposición o tendencia hacia el fenómeno que el nivel 1.0. Los resultados sugieren que cualquier análisis subsiguiente o intervención debe tener en cuenta esta sobrerrepresentación, lo que podría modular la generalizabilidad de conclusiones extraídas de la minoría o de la varianza entre los niveles. Es imperativo que futuras investigaciones profundicen en las variables subyacentes que explican por qué el nivel 1.0 constituye la categoría dominante en el contexto analizado.</w:t>
      </w:r>
    </w:p>
    <w:p>
      <w:r>
        <w:br w:type="page"/>
      </w:r>
    </w:p>
    <w:p>
      <w:pPr>
        <w:pStyle w:val="Heading1"/>
      </w:pPr>
      <w:r>
        <w:t>Distribución: Mencion nombre investigadora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Mencion nombre investigadora</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85.55%</w:t>
            </w:r>
          </w:p>
        </w:tc>
        <w:tc>
          <w:tcPr>
            <w:tcW w:type="dxa" w:w="1728"/>
          </w:tcPr>
          <w:p>
            <w:r>
              <w:t>100.00%</w:t>
            </w:r>
          </w:p>
        </w:tc>
        <w:tc>
          <w:tcPr>
            <w:tcW w:type="dxa" w:w="1728"/>
          </w:tcPr>
          <w:p>
            <w:r>
              <w:t>85.55%</w:t>
            </w:r>
          </w:p>
        </w:tc>
        <w:tc>
          <w:tcPr>
            <w:tcW w:type="dxa" w:w="1728"/>
          </w:tcPr>
          <w:p>
            <w:r>
              <w:t>1125</w:t>
            </w:r>
          </w:p>
        </w:tc>
      </w:tr>
      <w:tr>
        <w:tc>
          <w:tcPr>
            <w:tcW w:type="dxa" w:w="1728"/>
          </w:tcPr>
          <w:p>
            <w:r>
              <w:t>2.0</w:t>
            </w:r>
          </w:p>
        </w:tc>
        <w:tc>
          <w:tcPr>
            <w:tcW w:type="dxa" w:w="1728"/>
          </w:tcPr>
          <w:p>
            <w:r>
              <w:t>14.45%</w:t>
            </w:r>
          </w:p>
        </w:tc>
        <w:tc>
          <w:tcPr>
            <w:tcW w:type="dxa" w:w="1728"/>
          </w:tcPr>
          <w:p>
            <w:r>
              <w:t>100.00%</w:t>
            </w:r>
          </w:p>
        </w:tc>
        <w:tc>
          <w:tcPr>
            <w:tcW w:type="dxa" w:w="1728"/>
          </w:tcPr>
          <w:p>
            <w:r>
              <w:t>14.45%</w:t>
            </w:r>
          </w:p>
        </w:tc>
        <w:tc>
          <w:tcPr>
            <w:tcW w:type="dxa" w:w="1728"/>
          </w:tcPr>
          <w:p>
            <w:r>
              <w:t>190</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(mencion_nombre_investigadora)</w:t>
      </w:r>
    </w:p>
    <w:p>
      <w:r>
        <w:t>El análisis de la tabla de contingencia revela una marcada polarización en la mención de los nombres de investigadoras, evidenciando una clara predominancia de la Categoría 1.0. Esta categoría representa la vasta mayoría de las respuestas, concentrando el 85.55% del total de la muestra (1125 registros). Por el contrario, la Categoría 2.0 constituye una minoría significativa, representando únicamente el 14.45% del universo analizado (190 registros). Esta distribución altamente desequilibrada sugiere que el fenómeno estudiado o el tema abordado está intrínsecamente ligado, desde la perspectiva de la muestra, a los atributos asociados con la primera categoría.</w:t>
        <w:br/>
        <w:br/>
        <w:t>A pesar de la disparidad en la frecuencia absoluta, el patrón de distribución en el periodo de 2024 es notablemente uniforme, dado que ambas categorías (1.0 y 2.0) alcanzan el 100% de mención en ese período. Esto indica una cobertura completa de la muestra para ambos grupos de investigadoras. Desde un punto de vista sociológico, esta estructura sugiere que, si bien el foco principal y el consenso se encuentran en la Categoría 1.0, la presencia de la Categoría 2.0, aunque minoritaria, es estable y constante a lo largo del tiempo analizado. Las futuras investigaciones deberían centrarse en comprender las dinámicas específicas que hacen que esta minoría, aunque pequeña, sea tan consistentemente representativa.</w:t>
      </w:r>
    </w:p>
    <w:p>
      <w:r>
        <w:br w:type="page"/>
      </w:r>
    </w:p>
    <w:p>
      <w:pPr>
        <w:pStyle w:val="Heading1"/>
      </w:pPr>
      <w:r>
        <w:t>Distribución: Asimetria mujer hombre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Asimetria mujer hombre</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93.84%</w:t>
            </w:r>
          </w:p>
        </w:tc>
        <w:tc>
          <w:tcPr>
            <w:tcW w:type="dxa" w:w="1728"/>
          </w:tcPr>
          <w:p>
            <w:r>
              <w:t>100.00%</w:t>
            </w:r>
          </w:p>
        </w:tc>
        <w:tc>
          <w:tcPr>
            <w:tcW w:type="dxa" w:w="1728"/>
          </w:tcPr>
          <w:p>
            <w:r>
              <w:t>93.84%</w:t>
            </w:r>
          </w:p>
        </w:tc>
        <w:tc>
          <w:tcPr>
            <w:tcW w:type="dxa" w:w="1728"/>
          </w:tcPr>
          <w:p>
            <w:r>
              <w:t>1234</w:t>
            </w:r>
          </w:p>
        </w:tc>
      </w:tr>
      <w:tr>
        <w:tc>
          <w:tcPr>
            <w:tcW w:type="dxa" w:w="1728"/>
          </w:tcPr>
          <w:p>
            <w:r>
              <w:t>2.0</w:t>
            </w:r>
          </w:p>
        </w:tc>
        <w:tc>
          <w:tcPr>
            <w:tcW w:type="dxa" w:w="1728"/>
          </w:tcPr>
          <w:p>
            <w:r>
              <w:t>6.16%</w:t>
            </w:r>
          </w:p>
        </w:tc>
        <w:tc>
          <w:tcPr>
            <w:tcW w:type="dxa" w:w="1728"/>
          </w:tcPr>
          <w:p>
            <w:r>
              <w:t>100.00%</w:t>
            </w:r>
          </w:p>
        </w:tc>
        <w:tc>
          <w:tcPr>
            <w:tcW w:type="dxa" w:w="1728"/>
          </w:tcPr>
          <w:p>
            <w:r>
              <w:t>6.16%</w:t>
            </w:r>
          </w:p>
        </w:tc>
        <w:tc>
          <w:tcPr>
            <w:tcW w:type="dxa" w:w="1728"/>
          </w:tcPr>
          <w:p>
            <w:r>
              <w:t>81</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(asimetria_mujer_hombre)</w:t>
      </w:r>
    </w:p>
    <w:p>
      <w:r>
        <w:t>El análisis de la distribución de la variable "Asimetría mujer hombre" revela un patrón de alta concentración en la categoría 1.0, la cual representa la forma predominante de asimetría observada en la muestra, acaparando el 93.84% de las frecuencias totales. Esta marcada sobrerrepresentación sugiere que, para la mayoría de los casos analizados, el estado de asimetría se estabiliza consistentemente en este nivel. En términos sociométricos, esto indica una relativa homogeneidad en la condición medida por la muestra, lo que puede ser interpretado como un patrón social persistente y dominante.</w:t>
        <w:br/>
        <w:br/>
        <w:t>Por el contrario, la categoría de mayor asimetría (2.0) conforma una minoría significativa, constituyendo únicamente el 6.16% del total. Esta disparidad porcentual (más de 15 veces más casos en 1.0 que en 2.0) no solo es estadísticamente notable, sino que sugiere que cualquier intervención o análisis que busque modificar el patrón de asimetría debe centrarse prioritariamente en los determinantes que mantienen la estabilidad en el nivel 1.0, mientras que el estado de mayor disimetría (2.0) representa una situación excepcional que amerita un estudio cualitativo profundo para entender sus causas subyacentes.</w:t>
      </w:r>
    </w:p>
    <w:p>
      <w:r>
        <w:br w:type="page"/>
      </w:r>
    </w:p>
    <w:p>
      <w:pPr>
        <w:pStyle w:val="Heading1"/>
      </w:pPr>
      <w:r>
        <w:t>Distribución: Disminutivos infantilizacion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Disminutivos infantilizacion</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98.78%</w:t>
            </w:r>
          </w:p>
        </w:tc>
        <w:tc>
          <w:tcPr>
            <w:tcW w:type="dxa" w:w="1728"/>
          </w:tcPr>
          <w:p>
            <w:r>
              <w:t>100.00%</w:t>
            </w:r>
          </w:p>
        </w:tc>
        <w:tc>
          <w:tcPr>
            <w:tcW w:type="dxa" w:w="1728"/>
          </w:tcPr>
          <w:p>
            <w:r>
              <w:t>98.78%</w:t>
            </w:r>
          </w:p>
        </w:tc>
        <w:tc>
          <w:tcPr>
            <w:tcW w:type="dxa" w:w="1728"/>
          </w:tcPr>
          <w:p>
            <w:r>
              <w:t>1299</w:t>
            </w:r>
          </w:p>
        </w:tc>
      </w:tr>
      <w:tr>
        <w:tc>
          <w:tcPr>
            <w:tcW w:type="dxa" w:w="1728"/>
          </w:tcPr>
          <w:p>
            <w:r>
              <w:t>2.0</w:t>
            </w:r>
          </w:p>
        </w:tc>
        <w:tc>
          <w:tcPr>
            <w:tcW w:type="dxa" w:w="1728"/>
          </w:tcPr>
          <w:p>
            <w:r>
              <w:t>1.22%</w:t>
            </w:r>
          </w:p>
        </w:tc>
        <w:tc>
          <w:tcPr>
            <w:tcW w:type="dxa" w:w="1728"/>
          </w:tcPr>
          <w:p>
            <w:r>
              <w:t>100.00%</w:t>
            </w:r>
          </w:p>
        </w:tc>
        <w:tc>
          <w:tcPr>
            <w:tcW w:type="dxa" w:w="1728"/>
          </w:tcPr>
          <w:p>
            <w:r>
              <w:t>1.22%</w:t>
            </w:r>
          </w:p>
        </w:tc>
        <w:tc>
          <w:tcPr>
            <w:tcW w:type="dxa" w:w="1728"/>
          </w:tcPr>
          <w:p>
            <w:r>
              <w:t>16</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(disminutivos_infantilizacion)</w:t>
      </w:r>
    </w:p>
    <w:p>
      <w:r>
        <w:t>El análisis de la distribución de la variable "disminutivos infantilización" revela un patrón de concentración extremadamente alto. De los 1,315 individuos analizados, la gran mayoría (98.78%, N=1,299) se clasifica en el nivel 1.0. Este hallazgo indica que el nivel 1.0 constituye la categoría predominante y, presumiblemente, la norma social o el estado más frecuente dentro de la muestra estudiada.</w:t>
        <w:br/>
        <w:br/>
        <w:t>Por el contrario, el nivel 2.0 presenta una proporción muy reducida del total, constituyendo únicamente el 1.22% (N=16). Desde una perspectiva sociodemográfica, esta marcada disparidad sugiere un sesgo significativo en la muestra hacia la baja manifestación de la variable. Se requiere prestar especial atención a los casos que caen en la categoría 2.0, ya que representan una minoría desviada cuyo perfil podría ser analizado en detalle para determinar las variables subyacentes que impulsan esta baja prevalencia.</w:t>
      </w:r>
    </w:p>
    <w:p>
      <w:r>
        <w:br w:type="page"/>
      </w:r>
    </w:p>
    <w:p>
      <w:pPr>
        <w:pStyle w:val="Heading1"/>
      </w:pPr>
      <w:r>
        <w:t>Distribución: Denominacion sexualizada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Denominacion sexualizada</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90.04%</w:t>
            </w:r>
          </w:p>
        </w:tc>
        <w:tc>
          <w:tcPr>
            <w:tcW w:type="dxa" w:w="1728"/>
          </w:tcPr>
          <w:p>
            <w:r>
              <w:t>100.00%</w:t>
            </w:r>
          </w:p>
        </w:tc>
        <w:tc>
          <w:tcPr>
            <w:tcW w:type="dxa" w:w="1728"/>
          </w:tcPr>
          <w:p>
            <w:r>
              <w:t>90.04%</w:t>
            </w:r>
          </w:p>
        </w:tc>
        <w:tc>
          <w:tcPr>
            <w:tcW w:type="dxa" w:w="1728"/>
          </w:tcPr>
          <w:p>
            <w:r>
              <w:t>1184</w:t>
            </w:r>
          </w:p>
        </w:tc>
      </w:tr>
      <w:tr>
        <w:tc>
          <w:tcPr>
            <w:tcW w:type="dxa" w:w="1728"/>
          </w:tcPr>
          <w:p>
            <w:r>
              <w:t>2,0</w:t>
            </w:r>
          </w:p>
        </w:tc>
        <w:tc>
          <w:tcPr>
            <w:tcW w:type="dxa" w:w="1728"/>
          </w:tcPr>
          <w:p>
            <w:r>
              <w:t>9.96%</w:t>
            </w:r>
          </w:p>
        </w:tc>
        <w:tc>
          <w:tcPr>
            <w:tcW w:type="dxa" w:w="1728"/>
          </w:tcPr>
          <w:p>
            <w:r>
              <w:t>100.00%</w:t>
            </w:r>
          </w:p>
        </w:tc>
        <w:tc>
          <w:tcPr>
            <w:tcW w:type="dxa" w:w="1728"/>
          </w:tcPr>
          <w:p>
            <w:r>
              <w:t>9.96%</w:t>
            </w:r>
          </w:p>
        </w:tc>
        <w:tc>
          <w:tcPr>
            <w:tcW w:type="dxa" w:w="1728"/>
          </w:tcPr>
          <w:p>
            <w:r>
              <w:t>131</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(denominacion_sexualizada)</w:t>
      </w:r>
    </w:p>
    <w:p>
      <w:r>
        <w:t>El análisis de la tabla de contingencia revela una distribución de la población muestral marcadamente desproporcionada respecto a la variable 'Denominación sexualizada'. La categoría 1.0 concentra una sobrerrepresentación significativa, constituyendo el 90.04% de la totalidad de la muestra (1184 casos). En contraste, la categoría 2.0 representa una minoría considerablemente reducida, sumando apenas el 9.96% de los encuestados (131 casos).</w:t>
        <w:br/>
        <w:br/>
        <w:t>Esta marcada asimetría es el hallazgo más destacable del análisis. La alta concentración de la muestra en la primera categoría puede limitar la capacidad de generalización de los resultados a la población general, sugiriendo que el corpus de datos posee un grado de homogeneidad elevada. Además, la uniformidad de los porcentajes de distribución entre las filas y las columnas sugiere una estabilidad observacional, donde la prevalencia de la categoría 1.0 se mantiene constante tanto en el total muestral como en la medición específica de 2024.</w:t>
      </w:r>
    </w:p>
    <w:p>
      <w:r>
        <w:br w:type="page"/>
      </w:r>
    </w:p>
    <w:p>
      <w:pPr>
        <w:pStyle w:val="Heading1"/>
      </w:pPr>
      <w:r>
        <w:t>Distribución: Denominacion redundante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Denominacion redundante</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98.48%</w:t>
            </w:r>
          </w:p>
        </w:tc>
        <w:tc>
          <w:tcPr>
            <w:tcW w:type="dxa" w:w="1728"/>
          </w:tcPr>
          <w:p>
            <w:r>
              <w:t>100.00%</w:t>
            </w:r>
          </w:p>
        </w:tc>
        <w:tc>
          <w:tcPr>
            <w:tcW w:type="dxa" w:w="1728"/>
          </w:tcPr>
          <w:p>
            <w:r>
              <w:t>98.48%</w:t>
            </w:r>
          </w:p>
        </w:tc>
        <w:tc>
          <w:tcPr>
            <w:tcW w:type="dxa" w:w="1728"/>
          </w:tcPr>
          <w:p>
            <w:r>
              <w:t>1295</w:t>
            </w:r>
          </w:p>
        </w:tc>
      </w:tr>
      <w:tr>
        <w:tc>
          <w:tcPr>
            <w:tcW w:type="dxa" w:w="1728"/>
          </w:tcPr>
          <w:p>
            <w:r>
              <w:t>2.0</w:t>
            </w:r>
          </w:p>
        </w:tc>
        <w:tc>
          <w:tcPr>
            <w:tcW w:type="dxa" w:w="1728"/>
          </w:tcPr>
          <w:p>
            <w:r>
              <w:t>1.52%</w:t>
            </w:r>
          </w:p>
        </w:tc>
        <w:tc>
          <w:tcPr>
            <w:tcW w:type="dxa" w:w="1728"/>
          </w:tcPr>
          <w:p>
            <w:r>
              <w:t>100.00%</w:t>
            </w:r>
          </w:p>
        </w:tc>
        <w:tc>
          <w:tcPr>
            <w:tcW w:type="dxa" w:w="1728"/>
          </w:tcPr>
          <w:p>
            <w:r>
              <w:t>1.52%</w:t>
            </w:r>
          </w:p>
        </w:tc>
        <w:tc>
          <w:tcPr>
            <w:tcW w:type="dxa" w:w="1728"/>
          </w:tcPr>
          <w:p>
            <w:r>
              <w:t>20</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(denominacion_redundante)</w:t>
      </w:r>
    </w:p>
    <w:p>
      <w:r>
        <w:t>El análisis de la tabla de contingencia revela una distribución extremadamente sesgada y una marcada dependencia entre las dos variables analizadas. Se observa una sobrerrepresentación masiva de la categoría 1.0, que constituye el 98.48% del total de observaciones (N=1295 sobre N=1315). Este desequilibrio sugiere que el conjunto de datos está sesgado hacia un único perfil o estado.</w:t>
        <w:br/>
        <w:br/>
        <w:t>Desde la perspectiva estadístico-social, el hallazgo más notable es la asociación casi total observada en las frecuencias de fila. Para ambos grupos (1.0 y 2.0), el 100.00% de sus respectivos casos se concentra en la misma categoría de la variable predictora. Esto implica que, dentro de la muestra estudiada, la variable de columna es un predictor casi perfecto de la distribución de la variable de fila. Adicionalmente, el grupo 2.0 representa una minoría marginal (1.52%), lo cual debe ser considerado al momento de extrapolar resultados, ya que su varianza y peso estadístico son ínfimos comparados con la estabilidad de la categoría principal.</w:t>
      </w:r>
    </w:p>
    <w:p>
      <w:r>
        <w:br w:type="page"/>
      </w:r>
    </w:p>
    <w:p>
      <w:pPr>
        <w:pStyle w:val="Heading1"/>
      </w:pPr>
      <w:r>
        <w:t>Distribución: Denominacion dependiente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Denominacion dependiente</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94.45%</w:t>
            </w:r>
          </w:p>
        </w:tc>
        <w:tc>
          <w:tcPr>
            <w:tcW w:type="dxa" w:w="1728"/>
          </w:tcPr>
          <w:p>
            <w:r>
              <w:t>100.00%</w:t>
            </w:r>
          </w:p>
        </w:tc>
        <w:tc>
          <w:tcPr>
            <w:tcW w:type="dxa" w:w="1728"/>
          </w:tcPr>
          <w:p>
            <w:r>
              <w:t>94.45%</w:t>
            </w:r>
          </w:p>
        </w:tc>
        <w:tc>
          <w:tcPr>
            <w:tcW w:type="dxa" w:w="1728"/>
          </w:tcPr>
          <w:p>
            <w:r>
              <w:t>1242</w:t>
            </w:r>
          </w:p>
        </w:tc>
      </w:tr>
      <w:tr>
        <w:tc>
          <w:tcPr>
            <w:tcW w:type="dxa" w:w="1728"/>
          </w:tcPr>
          <w:p>
            <w:r>
              <w:t>2.0</w:t>
            </w:r>
          </w:p>
        </w:tc>
        <w:tc>
          <w:tcPr>
            <w:tcW w:type="dxa" w:w="1728"/>
          </w:tcPr>
          <w:p>
            <w:r>
              <w:t>5.55%</w:t>
            </w:r>
          </w:p>
        </w:tc>
        <w:tc>
          <w:tcPr>
            <w:tcW w:type="dxa" w:w="1728"/>
          </w:tcPr>
          <w:p>
            <w:r>
              <w:t>100.00%</w:t>
            </w:r>
          </w:p>
        </w:tc>
        <w:tc>
          <w:tcPr>
            <w:tcW w:type="dxa" w:w="1728"/>
          </w:tcPr>
          <w:p>
            <w:r>
              <w:t>5.55%</w:t>
            </w:r>
          </w:p>
        </w:tc>
        <w:tc>
          <w:tcPr>
            <w:tcW w:type="dxa" w:w="1728"/>
          </w:tcPr>
          <w:p>
            <w:r>
              <w:t>73</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(denominacion_dependiente)</w:t>
      </w:r>
    </w:p>
    <w:p>
      <w:r>
        <w:t>Los análisis de contingencia revelan una distribución extremadamente sesgada de la variable dependiente, donde la categoría 1.0 constituye la fuerza dominante del fenómeno observado, representando un 94.45% del total de casos (n=1242). Este patrón de alta prevalencia está fuertemente asociado con el período '2024', dado que el 100% de las ocurrencias de la categoría 1.0 se registraron en dicho año, lo que sugiere una alta estabilidad o manifestación temporal de este constructo en el contexto analizado.</w:t>
        <w:br/>
        <w:br/>
        <w:t>En contraste, la categoría 2.0 presenta un patrón de distribución nulo en el subconjunto '2024'. A pesar de que existen casos de esta categoría en el total de la muestra, el 100% de ellas se concentran en la columna 'Total', lo que implica una ausencia completa de registros de 2.0 en el período '2024'. Sociológicamente, este hallazgo sugiere una disyunción significativa: mientras que la variable 1.0 demuestra ser un indicador robusto y constante en el año más reciente, la variable 2.0, aunque potencialmente existente en la población global, no presenta evidencia de manifestación en el periodo bajo estudio.</w:t>
      </w:r>
    </w:p>
    <w:p>
      <w:r>
        <w:br w:type="page"/>
      </w:r>
    </w:p>
    <w:p>
      <w:pPr>
        <w:pStyle w:val="Heading1"/>
      </w:pPr>
      <w:r>
        <w:t>Distribución: Criterios excepcion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Criterios excepcion</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97.34%</w:t>
            </w:r>
          </w:p>
        </w:tc>
        <w:tc>
          <w:tcPr>
            <w:tcW w:type="dxa" w:w="1728"/>
          </w:tcPr>
          <w:p>
            <w:r>
              <w:t>100.00%</w:t>
            </w:r>
          </w:p>
        </w:tc>
        <w:tc>
          <w:tcPr>
            <w:tcW w:type="dxa" w:w="1728"/>
          </w:tcPr>
          <w:p>
            <w:r>
              <w:t>97.34%</w:t>
            </w:r>
          </w:p>
        </w:tc>
        <w:tc>
          <w:tcPr>
            <w:tcW w:type="dxa" w:w="1728"/>
          </w:tcPr>
          <w:p>
            <w:r>
              <w:t>1280</w:t>
            </w:r>
          </w:p>
        </w:tc>
      </w:tr>
      <w:tr>
        <w:tc>
          <w:tcPr>
            <w:tcW w:type="dxa" w:w="1728"/>
          </w:tcPr>
          <w:p>
            <w:r>
              <w:t>2.0</w:t>
            </w:r>
          </w:p>
        </w:tc>
        <w:tc>
          <w:tcPr>
            <w:tcW w:type="dxa" w:w="1728"/>
          </w:tcPr>
          <w:p>
            <w:r>
              <w:t>2.66%</w:t>
            </w:r>
          </w:p>
        </w:tc>
        <w:tc>
          <w:tcPr>
            <w:tcW w:type="dxa" w:w="1728"/>
          </w:tcPr>
          <w:p>
            <w:r>
              <w:t>100.00%</w:t>
            </w:r>
          </w:p>
        </w:tc>
        <w:tc>
          <w:tcPr>
            <w:tcW w:type="dxa" w:w="1728"/>
          </w:tcPr>
          <w:p>
            <w:r>
              <w:t>2.66%</w:t>
            </w:r>
          </w:p>
        </w:tc>
        <w:tc>
          <w:tcPr>
            <w:tcW w:type="dxa" w:w="1728"/>
          </w:tcPr>
          <w:p>
            <w:r>
              <w:t>35</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(criterios_excepcion)</w:t>
      </w:r>
    </w:p>
    <w:p>
      <w:r>
        <w:t>El análisis de la tabla de contingencia revela una distribución extremadamente sesgada de los criterios excepcionales. La categoría 1.0 domina abrumadoramente el conjunto de datos, constituyendo el 97.34% de todas las ocurrencias registradas. Esta marcada predominancia sugiere que el valor 1.0 representa el patrón de comportamiento o la situación más común dentro de la muestra, estableciendo el estándar o la norma predominante bajo el escrutinio de los criterios analizados.</w:t>
        <w:br/>
        <w:br/>
        <w:t>Por otro lado, la categoría 2.0 aparece como un evento atípico o marginal. Su índice de ocurrencia es significativamente bajo, representando apenas el 2.66% del total. Esta gran disparidad porcentual implica que, si bien existen observaciones bajo este criterio, su presencia es excepcionalmente reducida en comparación con la norma establecida. Desde una perspectiva sociológica o de modelado predictivo, esta marcada asimetría sugiere la necesidad de investigar exhaustivamente la naturaleza de la categoría 2.0, ya que su baja frecuencia podría indicar condiciones muy específicas o factores desencadenantes que no son generalizables a la población total.</w:t>
      </w:r>
    </w:p>
    <w:p>
      <w:r>
        <w:br w:type="page"/>
      </w:r>
    </w:p>
    <w:p>
      <w:pPr>
        <w:pStyle w:val="Heading1"/>
      </w:pPr>
      <w:r>
        <w:t>Distribución: Comparacion mujer hombre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Comparacion mujer hombre</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95.51%</w:t>
            </w:r>
          </w:p>
        </w:tc>
        <w:tc>
          <w:tcPr>
            <w:tcW w:type="dxa" w:w="1728"/>
          </w:tcPr>
          <w:p>
            <w:r>
              <w:t>100.00%</w:t>
            </w:r>
          </w:p>
        </w:tc>
        <w:tc>
          <w:tcPr>
            <w:tcW w:type="dxa" w:w="1728"/>
          </w:tcPr>
          <w:p>
            <w:r>
              <w:t>95.51%</w:t>
            </w:r>
          </w:p>
        </w:tc>
        <w:tc>
          <w:tcPr>
            <w:tcW w:type="dxa" w:w="1728"/>
          </w:tcPr>
          <w:p>
            <w:r>
              <w:t>1256</w:t>
            </w:r>
          </w:p>
        </w:tc>
      </w:tr>
      <w:tr>
        <w:tc>
          <w:tcPr>
            <w:tcW w:type="dxa" w:w="1728"/>
          </w:tcPr>
          <w:p>
            <w:r>
              <w:t>2.0</w:t>
            </w:r>
          </w:p>
        </w:tc>
        <w:tc>
          <w:tcPr>
            <w:tcW w:type="dxa" w:w="1728"/>
          </w:tcPr>
          <w:p>
            <w:r>
              <w:t>4.49%</w:t>
            </w:r>
          </w:p>
        </w:tc>
        <w:tc>
          <w:tcPr>
            <w:tcW w:type="dxa" w:w="1728"/>
          </w:tcPr>
          <w:p>
            <w:r>
              <w:t>100.00%</w:t>
            </w:r>
          </w:p>
        </w:tc>
        <w:tc>
          <w:tcPr>
            <w:tcW w:type="dxa" w:w="1728"/>
          </w:tcPr>
          <w:p>
            <w:r>
              <w:t>4.49%</w:t>
            </w:r>
          </w:p>
        </w:tc>
        <w:tc>
          <w:tcPr>
            <w:tcW w:type="dxa" w:w="1728"/>
          </w:tcPr>
          <w:p>
            <w:r>
              <w:t>59</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1315</w:t>
            </w:r>
          </w:p>
        </w:tc>
      </w:tr>
    </w:tbl>
    <w:p/>
    <w:p>
      <w:pPr>
        <w:pStyle w:val="Heading2"/>
      </w:pPr>
      <w:r>
        <w:t>Análisis descriptivo (comparacion_mujer_hombre)</w:t>
      </w:r>
    </w:p>
    <w:p>
      <w:r>
        <w:t>Los análisis de la tabla de contingencia revelan una desproporción de género extremadamente marcada en la muestra total, lo cual debe considerarse como un factor determinante al interpretar cualquier resultado posterior. Globalmente, la participación femenina representa el 95.51% de la población analizada, mientras que la participación masculina se limita al 4.49%. Esta relación de género, que supera una proporción de 21 mujeres por cada 1 hombre, sugiere un sesgo muestral severo que orienta el enfoque del estudio predominantemente hacia la experiencia femenina.</w:t>
        <w:br/>
        <w:br/>
        <w:t>Este patrón de composición de género no solo es evidente en la distribución total, sino que se mantiene de manera notablemente consistente al analizar el período específico de 2024. En esta categoría temporal, la composición de género refleja exactamente las mismas proporciones (95.51% femenino y 4.49% masculino). Esta homogeneidad en la distribución de género a lo largo del tiempo analizado indica una estabilidad en la composición muestral y refuerza la necesidad de considerar las limitaciones metodológicas inherentes a este perfil demográfico sesgado.</w:t>
      </w:r>
    </w:p>
    <w:p>
      <w:r>
        <w:br w:type="page"/>
      </w:r>
    </w:p>
    <w:p>
      <w:pPr>
        <w:pStyle w:val="Heading1"/>
      </w:pPr>
      <w:r>
        <w:t>Distribución: Antiguo genero protagonistas vs año_agrupado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Antiguo genero protagonistas</w:t>
            </w:r>
          </w:p>
        </w:tc>
        <w:tc>
          <w:tcPr>
            <w:tcW w:type="dxa" w:w="1234"/>
          </w:tcPr>
          <w:p>
            <w:r>
              <w:t>de 2017 a 2021</w:t>
            </w:r>
          </w:p>
        </w:tc>
        <w:tc>
          <w:tcPr>
            <w:tcW w:type="dxa" w:w="1234"/>
          </w:tcPr>
          <w:p>
            <w:r>
              <w:t>de 2017 a 2021</w:t>
            </w:r>
          </w:p>
        </w:tc>
        <w:tc>
          <w:tcPr>
            <w:tcW w:type="dxa" w:w="1234"/>
          </w:tcPr>
          <w:p>
            <w:r>
              <w:t>2024</w:t>
            </w:r>
          </w:p>
        </w:tc>
        <w:tc>
          <w:tcPr>
            <w:tcW w:type="dxa" w:w="1234"/>
          </w:tcPr>
          <w:p>
            <w:r>
              <w:t>2024</w:t>
            </w:r>
          </w:p>
        </w:tc>
        <w:tc>
          <w:tcPr>
            <w:tcW w:type="dxa" w:w="1234"/>
          </w:tcPr>
          <w:p>
            <w:r>
              <w:t>Total</w:t>
            </w:r>
          </w:p>
        </w:tc>
        <w:tc>
          <w:tcPr>
            <w:tcW w:type="dxa" w:w="1234"/>
          </w:tcPr>
          <w:p>
            <w:r>
              <w:t>Total</w:t>
            </w:r>
          </w:p>
        </w:tc>
      </w:tr>
      <w:tr>
        <w:tc>
          <w:tcPr>
            <w:tcW w:type="dxa" w:w="1234"/>
          </w:tcPr>
          <w:p/>
        </w:tc>
        <w:tc>
          <w:tcPr>
            <w:tcW w:type="dxa" w:w="1234"/>
          </w:tcPr>
          <w:p>
            <w:r>
              <w:t>% col.</w:t>
            </w:r>
          </w:p>
        </w:tc>
        <w:tc>
          <w:tcPr>
            <w:tcW w:type="dxa" w:w="1234"/>
          </w:tcPr>
          <w:p>
            <w:r>
              <w:t>% fila</w:t>
            </w:r>
          </w:p>
        </w:tc>
        <w:tc>
          <w:tcPr>
            <w:tcW w:type="dxa" w:w="1234"/>
          </w:tcPr>
          <w:p>
            <w:r>
              <w:t>% col.</w:t>
            </w:r>
          </w:p>
        </w:tc>
        <w:tc>
          <w:tcPr>
            <w:tcW w:type="dxa" w:w="1234"/>
          </w:tcPr>
          <w:p>
            <w:r>
              <w:t>% fila</w:t>
            </w:r>
          </w:p>
        </w:tc>
        <w:tc>
          <w:tcPr>
            <w:tcW w:type="dxa" w:w="1234"/>
          </w:tcPr>
          <w:p>
            <w:r>
              <w:t>% col.</w:t>
            </w:r>
          </w:p>
        </w:tc>
        <w:tc>
          <w:tcPr>
            <w:tcW w:type="dxa" w:w="1234"/>
          </w:tcPr>
          <w:p>
            <w:r>
              <w:t>Frec.</w:t>
            </w:r>
          </w:p>
        </w:tc>
      </w:tr>
      <w:tr>
        <w:tc>
          <w:tcPr>
            <w:tcW w:type="dxa" w:w="1234"/>
          </w:tcPr>
          <w:p>
            <w:r>
              <w:t>1</w:t>
            </w:r>
          </w:p>
        </w:tc>
        <w:tc>
          <w:tcPr>
            <w:tcW w:type="dxa" w:w="1234"/>
          </w:tcPr>
          <w:p>
            <w:r>
              <w:t>45.71%</w:t>
            </w:r>
          </w:p>
        </w:tc>
        <w:tc>
          <w:tcPr>
            <w:tcW w:type="dxa" w:w="1234"/>
          </w:tcPr>
          <w:p>
            <w:r>
              <w:t>57.16%</w:t>
            </w:r>
          </w:p>
        </w:tc>
        <w:tc>
          <w:tcPr>
            <w:tcW w:type="dxa" w:w="1234"/>
          </w:tcPr>
          <w:p>
            <w:r>
              <w:t>47.48%</w:t>
            </w:r>
          </w:p>
        </w:tc>
        <w:tc>
          <w:tcPr>
            <w:tcW w:type="dxa" w:w="1234"/>
          </w:tcPr>
          <w:p>
            <w:r>
              <w:t>42.84%</w:t>
            </w:r>
          </w:p>
        </w:tc>
        <w:tc>
          <w:tcPr>
            <w:tcW w:type="dxa" w:w="1234"/>
          </w:tcPr>
          <w:p>
            <w:r>
              <w:t>46.45%</w:t>
            </w:r>
          </w:p>
        </w:tc>
        <w:tc>
          <w:tcPr>
            <w:tcW w:type="dxa" w:w="1234"/>
          </w:tcPr>
          <w:p>
            <w:r>
              <w:t>3305</w:t>
            </w:r>
          </w:p>
        </w:tc>
      </w:tr>
      <w:tr>
        <w:tc>
          <w:tcPr>
            <w:tcW w:type="dxa" w:w="1234"/>
          </w:tcPr>
          <w:p>
            <w:r>
              <w:t>2</w:t>
            </w:r>
          </w:p>
        </w:tc>
        <w:tc>
          <w:tcPr>
            <w:tcW w:type="dxa" w:w="1234"/>
          </w:tcPr>
          <w:p>
            <w:r>
              <w:t>6.53%</w:t>
            </w:r>
          </w:p>
        </w:tc>
        <w:tc>
          <w:tcPr>
            <w:tcW w:type="dxa" w:w="1234"/>
          </w:tcPr>
          <w:p>
            <w:r>
              <w:t>51.43%</w:t>
            </w:r>
          </w:p>
        </w:tc>
        <w:tc>
          <w:tcPr>
            <w:tcW w:type="dxa" w:w="1234"/>
          </w:tcPr>
          <w:p>
            <w:r>
              <w:t>8.55%</w:t>
            </w:r>
          </w:p>
        </w:tc>
        <w:tc>
          <w:tcPr>
            <w:tcW w:type="dxa" w:w="1234"/>
          </w:tcPr>
          <w:p>
            <w:r>
              <w:t>48.57%</w:t>
            </w:r>
          </w:p>
        </w:tc>
        <w:tc>
          <w:tcPr>
            <w:tcW w:type="dxa" w:w="1234"/>
          </w:tcPr>
          <w:p>
            <w:r>
              <w:t>7.38%</w:t>
            </w:r>
          </w:p>
        </w:tc>
        <w:tc>
          <w:tcPr>
            <w:tcW w:type="dxa" w:w="1234"/>
          </w:tcPr>
          <w:p>
            <w:r>
              <w:t>525</w:t>
            </w:r>
          </w:p>
        </w:tc>
      </w:tr>
      <w:tr>
        <w:tc>
          <w:tcPr>
            <w:tcW w:type="dxa" w:w="1234"/>
          </w:tcPr>
          <w:p>
            <w:r>
              <w:t>3</w:t>
            </w:r>
          </w:p>
        </w:tc>
        <w:tc>
          <w:tcPr>
            <w:tcW w:type="dxa" w:w="1234"/>
          </w:tcPr>
          <w:p>
            <w:r>
              <w:t>28.04%</w:t>
            </w:r>
          </w:p>
        </w:tc>
        <w:tc>
          <w:tcPr>
            <w:tcW w:type="dxa" w:w="1234"/>
          </w:tcPr>
          <w:p>
            <w:r>
              <w:t>56.23%</w:t>
            </w:r>
          </w:p>
        </w:tc>
        <w:tc>
          <w:tcPr>
            <w:tcW w:type="dxa" w:w="1234"/>
          </w:tcPr>
          <w:p>
            <w:r>
              <w:t>30.25%</w:t>
            </w:r>
          </w:p>
        </w:tc>
        <w:tc>
          <w:tcPr>
            <w:tcW w:type="dxa" w:w="1234"/>
          </w:tcPr>
          <w:p>
            <w:r>
              <w:t>43.77%</w:t>
            </w:r>
          </w:p>
        </w:tc>
        <w:tc>
          <w:tcPr>
            <w:tcW w:type="dxa" w:w="1234"/>
          </w:tcPr>
          <w:p>
            <w:r>
              <w:t>28.97%</w:t>
            </w:r>
          </w:p>
        </w:tc>
        <w:tc>
          <w:tcPr>
            <w:tcW w:type="dxa" w:w="1234"/>
          </w:tcPr>
          <w:p>
            <w:r>
              <w:t>2061</w:t>
            </w:r>
          </w:p>
        </w:tc>
      </w:tr>
      <w:tr>
        <w:tc>
          <w:tcPr>
            <w:tcW w:type="dxa" w:w="1234"/>
          </w:tcPr>
          <w:p>
            <w:r>
              <w:t>4</w:t>
            </w:r>
          </w:p>
        </w:tc>
        <w:tc>
          <w:tcPr>
            <w:tcW w:type="dxa" w:w="1234"/>
          </w:tcPr>
          <w:p>
            <w:r>
              <w:t>19.72%</w:t>
            </w:r>
          </w:p>
        </w:tc>
        <w:tc>
          <w:tcPr>
            <w:tcW w:type="dxa" w:w="1234"/>
          </w:tcPr>
          <w:p>
            <w:r>
              <w:t>66.58%</w:t>
            </w:r>
          </w:p>
        </w:tc>
        <w:tc>
          <w:tcPr>
            <w:tcW w:type="dxa" w:w="1234"/>
          </w:tcPr>
          <w:p>
            <w:r>
              <w:t>13.72%</w:t>
            </w:r>
          </w:p>
        </w:tc>
        <w:tc>
          <w:tcPr>
            <w:tcW w:type="dxa" w:w="1234"/>
          </w:tcPr>
          <w:p>
            <w:r>
              <w:t>33.42%</w:t>
            </w:r>
          </w:p>
        </w:tc>
        <w:tc>
          <w:tcPr>
            <w:tcW w:type="dxa" w:w="1234"/>
          </w:tcPr>
          <w:p>
            <w:r>
              <w:t>17.20%</w:t>
            </w:r>
          </w:p>
        </w:tc>
        <w:tc>
          <w:tcPr>
            <w:tcW w:type="dxa" w:w="1234"/>
          </w:tcPr>
          <w:p>
            <w:r>
              <w:t>1224</w:t>
            </w:r>
          </w:p>
        </w:tc>
      </w:tr>
      <w:tr>
        <w:tc>
          <w:tcPr>
            <w:tcW w:type="dxa" w:w="1234"/>
          </w:tcPr>
          <w:p>
            <w:r>
              <w:t>Total</w:t>
            </w:r>
          </w:p>
        </w:tc>
        <w:tc>
          <w:tcPr>
            <w:tcW w:type="dxa" w:w="1234"/>
          </w:tcPr>
          <w:p>
            <w:r>
              <w:t>100%</w:t>
            </w:r>
          </w:p>
        </w:tc>
        <w:tc>
          <w:tcPr>
            <w:tcW w:type="dxa" w:w="1234"/>
          </w:tcPr>
          <w:p>
            <w:r>
              <w:t>58.09%</w:t>
            </w:r>
          </w:p>
        </w:tc>
        <w:tc>
          <w:tcPr>
            <w:tcW w:type="dxa" w:w="1234"/>
          </w:tcPr>
          <w:p>
            <w:r>
              <w:t>100%</w:t>
            </w:r>
          </w:p>
        </w:tc>
        <w:tc>
          <w:tcPr>
            <w:tcW w:type="dxa" w:w="1234"/>
          </w:tcPr>
          <w:p>
            <w:r>
              <w:t>41.91%</w:t>
            </w:r>
          </w:p>
        </w:tc>
        <w:tc>
          <w:tcPr>
            <w:tcW w:type="dxa" w:w="1234"/>
          </w:tcPr>
          <w:p>
            <w:r>
              <w:t>100%</w:t>
            </w:r>
          </w:p>
        </w:tc>
        <w:tc>
          <w:tcPr>
            <w:tcW w:type="dxa" w:w="1234"/>
          </w:tcPr>
          <w:p>
            <w:r>
              <w:t>7115</w:t>
            </w:r>
          </w:p>
        </w:tc>
      </w:tr>
    </w:tbl>
    <w:p/>
    <w:p>
      <w:pPr>
        <w:pStyle w:val="Heading2"/>
      </w:pPr>
      <w:r>
        <w:t>Análisis descriptivo (antiguo_genero_protagonistas)</w:t>
      </w:r>
    </w:p>
    <w:p>
      <w:r>
        <w:t>El análisis de la tabla de contingencia revela patrones significativos de divergencia en la representación de los géneros protagonistas entre el periodo de 2017 a 2021 y los datos más recientes de 2024, sugiriendo una reestructuración del canon narrativo. En términos globales, se observa una tendencia decreciente en la contribución proporcional de los géneros 1 y 4, cuyos porcentajes de peso descienden notablemente, pasando de una contribución de 57.16% (Género 1) y 66.58% (Género 4) respectivamente, en el periodo inicial, a un 42.84% y 33.42% en 2024. Esta disminución es particularmente marcada en el Género 1, cuyo rol dominante inicial cede una cuota considerable en la periodización más reciente.</w:t>
        <w:br/>
        <w:br/>
        <w:t>Por otro lado, el Género 3 exhibe una estabilidad estructural más robusta, manteniendo consistentemente altas proporciones de contribución (56.23% y 43.77%) y constituyendo el eje de mayor peso relativo en ambas muestras. Aunque el Género 2 muestra cifras absolutas más bajas en el total, su contribución proporcional en 2024 (48.57%) sugiere una resiliencia notable frente a la contracción observada en otras categorías. En conjunto, estos datos señalan un proceso de mitigación de la hegemonía de ciertos géneros y un desplazamiento de los ejes narrativos principales, lo que podría indicar una diversificación o un cambio en las dinámicas de consumo mediático de los protagonistas.</w:t>
      </w:r>
    </w:p>
    <w:p>
      <w:r>
        <w:br w:type="page"/>
      </w:r>
    </w:p>
    <w:p>
      <w:pPr>
        <w:pStyle w:val="Heading1"/>
      </w:pPr>
      <w:r>
        <w:t>Distribución: Emocion ia vs año_agrupado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Emocion ia</w:t>
            </w:r>
          </w:p>
        </w:tc>
        <w:tc>
          <w:tcPr>
            <w:tcW w:type="dxa" w:w="1728"/>
          </w:tcPr>
          <w:p>
            <w:r>
              <w:t>2024</w:t>
            </w:r>
          </w:p>
        </w:tc>
        <w:tc>
          <w:tcPr>
            <w:tcW w:type="dxa" w:w="1728"/>
          </w:tcPr>
          <w:p>
            <w:r>
              <w:t>2024</w:t>
            </w:r>
          </w:p>
        </w:tc>
        <w:tc>
          <w:tcPr>
            <w:tcW w:type="dxa" w:w="1728"/>
          </w:tcPr>
          <w:p>
            <w:r>
              <w:t>Total</w:t>
            </w:r>
          </w:p>
        </w:tc>
        <w:tc>
          <w:tcPr>
            <w:tcW w:type="dxa" w:w="1728"/>
          </w:tcPr>
          <w:p>
            <w:r>
              <w:t>Total</w:t>
            </w:r>
          </w:p>
        </w:tc>
      </w:tr>
      <w:tr>
        <w:tc>
          <w:tcPr>
            <w:tcW w:type="dxa" w:w="1728"/>
          </w:tcPr>
          <w:p/>
        </w:tc>
        <w:tc>
          <w:tcPr>
            <w:tcW w:type="dxa" w:w="1728"/>
          </w:tcPr>
          <w:p>
            <w:r>
              <w:t>% col.</w:t>
            </w:r>
          </w:p>
        </w:tc>
        <w:tc>
          <w:tcPr>
            <w:tcW w:type="dxa" w:w="1728"/>
          </w:tcPr>
          <w:p>
            <w:r>
              <w:t>% fila</w:t>
            </w:r>
          </w:p>
        </w:tc>
        <w:tc>
          <w:tcPr>
            <w:tcW w:type="dxa" w:w="1728"/>
          </w:tcPr>
          <w:p>
            <w:r>
              <w:t>% col.</w:t>
            </w:r>
          </w:p>
        </w:tc>
        <w:tc>
          <w:tcPr>
            <w:tcW w:type="dxa" w:w="1728"/>
          </w:tcPr>
          <w:p>
            <w:r>
              <w:t>Frec.</w:t>
            </w:r>
          </w:p>
        </w:tc>
      </w:tr>
      <w:tr>
        <w:tc>
          <w:tcPr>
            <w:tcW w:type="dxa" w:w="1728"/>
          </w:tcPr>
          <w:p>
            <w:r>
              <w:t>1.0</w:t>
            </w:r>
          </w:p>
        </w:tc>
        <w:tc>
          <w:tcPr>
            <w:tcW w:type="dxa" w:w="1728"/>
          </w:tcPr>
          <w:p>
            <w:r>
              <w:t>2.82%</w:t>
            </w:r>
          </w:p>
        </w:tc>
        <w:tc>
          <w:tcPr>
            <w:tcW w:type="dxa" w:w="1728"/>
          </w:tcPr>
          <w:p>
            <w:r>
              <w:t>100.00%</w:t>
            </w:r>
          </w:p>
        </w:tc>
        <w:tc>
          <w:tcPr>
            <w:tcW w:type="dxa" w:w="1728"/>
          </w:tcPr>
          <w:p>
            <w:r>
              <w:t>2.82%</w:t>
            </w:r>
          </w:p>
        </w:tc>
        <w:tc>
          <w:tcPr>
            <w:tcW w:type="dxa" w:w="1728"/>
          </w:tcPr>
          <w:p>
            <w:r>
              <w:t>84</w:t>
            </w:r>
          </w:p>
        </w:tc>
      </w:tr>
      <w:tr>
        <w:tc>
          <w:tcPr>
            <w:tcW w:type="dxa" w:w="1728"/>
          </w:tcPr>
          <w:p>
            <w:r>
              <w:t>2.0</w:t>
            </w:r>
          </w:p>
        </w:tc>
        <w:tc>
          <w:tcPr>
            <w:tcW w:type="dxa" w:w="1728"/>
          </w:tcPr>
          <w:p>
            <w:r>
              <w:t>8.35%</w:t>
            </w:r>
          </w:p>
        </w:tc>
        <w:tc>
          <w:tcPr>
            <w:tcW w:type="dxa" w:w="1728"/>
          </w:tcPr>
          <w:p>
            <w:r>
              <w:t>100.00%</w:t>
            </w:r>
          </w:p>
        </w:tc>
        <w:tc>
          <w:tcPr>
            <w:tcW w:type="dxa" w:w="1728"/>
          </w:tcPr>
          <w:p>
            <w:r>
              <w:t>8.35%</w:t>
            </w:r>
          </w:p>
        </w:tc>
        <w:tc>
          <w:tcPr>
            <w:tcW w:type="dxa" w:w="1728"/>
          </w:tcPr>
          <w:p>
            <w:r>
              <w:t>249</w:t>
            </w:r>
          </w:p>
        </w:tc>
      </w:tr>
      <w:tr>
        <w:tc>
          <w:tcPr>
            <w:tcW w:type="dxa" w:w="1728"/>
          </w:tcPr>
          <w:p>
            <w:r>
              <w:t>3.0</w:t>
            </w:r>
          </w:p>
        </w:tc>
        <w:tc>
          <w:tcPr>
            <w:tcW w:type="dxa" w:w="1728"/>
          </w:tcPr>
          <w:p>
            <w:r>
              <w:t>10.33%</w:t>
            </w:r>
          </w:p>
        </w:tc>
        <w:tc>
          <w:tcPr>
            <w:tcW w:type="dxa" w:w="1728"/>
          </w:tcPr>
          <w:p>
            <w:r>
              <w:t>100.00%</w:t>
            </w:r>
          </w:p>
        </w:tc>
        <w:tc>
          <w:tcPr>
            <w:tcW w:type="dxa" w:w="1728"/>
          </w:tcPr>
          <w:p>
            <w:r>
              <w:t>10.33%</w:t>
            </w:r>
          </w:p>
        </w:tc>
        <w:tc>
          <w:tcPr>
            <w:tcW w:type="dxa" w:w="1728"/>
          </w:tcPr>
          <w:p>
            <w:r>
              <w:t>308</w:t>
            </w:r>
          </w:p>
        </w:tc>
      </w:tr>
      <w:tr>
        <w:tc>
          <w:tcPr>
            <w:tcW w:type="dxa" w:w="1728"/>
          </w:tcPr>
          <w:p>
            <w:r>
              <w:t>4.0</w:t>
            </w:r>
          </w:p>
        </w:tc>
        <w:tc>
          <w:tcPr>
            <w:tcW w:type="dxa" w:w="1728"/>
          </w:tcPr>
          <w:p>
            <w:r>
              <w:t>13.08%</w:t>
            </w:r>
          </w:p>
        </w:tc>
        <w:tc>
          <w:tcPr>
            <w:tcW w:type="dxa" w:w="1728"/>
          </w:tcPr>
          <w:p>
            <w:r>
              <w:t>100.00%</w:t>
            </w:r>
          </w:p>
        </w:tc>
        <w:tc>
          <w:tcPr>
            <w:tcW w:type="dxa" w:w="1728"/>
          </w:tcPr>
          <w:p>
            <w:r>
              <w:t>13.08%</w:t>
            </w:r>
          </w:p>
        </w:tc>
        <w:tc>
          <w:tcPr>
            <w:tcW w:type="dxa" w:w="1728"/>
          </w:tcPr>
          <w:p>
            <w:r>
              <w:t>390</w:t>
            </w:r>
          </w:p>
        </w:tc>
      </w:tr>
      <w:tr>
        <w:tc>
          <w:tcPr>
            <w:tcW w:type="dxa" w:w="1728"/>
          </w:tcPr>
          <w:p>
            <w:r>
              <w:t>5.0</w:t>
            </w:r>
          </w:p>
        </w:tc>
        <w:tc>
          <w:tcPr>
            <w:tcW w:type="dxa" w:w="1728"/>
          </w:tcPr>
          <w:p>
            <w:r>
              <w:t>2.92%</w:t>
            </w:r>
          </w:p>
        </w:tc>
        <w:tc>
          <w:tcPr>
            <w:tcW w:type="dxa" w:w="1728"/>
          </w:tcPr>
          <w:p>
            <w:r>
              <w:t>100.00%</w:t>
            </w:r>
          </w:p>
        </w:tc>
        <w:tc>
          <w:tcPr>
            <w:tcW w:type="dxa" w:w="1728"/>
          </w:tcPr>
          <w:p>
            <w:r>
              <w:t>2.92%</w:t>
            </w:r>
          </w:p>
        </w:tc>
        <w:tc>
          <w:tcPr>
            <w:tcW w:type="dxa" w:w="1728"/>
          </w:tcPr>
          <w:p>
            <w:r>
              <w:t>87</w:t>
            </w:r>
          </w:p>
        </w:tc>
      </w:tr>
      <w:tr>
        <w:tc>
          <w:tcPr>
            <w:tcW w:type="dxa" w:w="1728"/>
          </w:tcPr>
          <w:p>
            <w:r>
              <w:t>6.0</w:t>
            </w:r>
          </w:p>
        </w:tc>
        <w:tc>
          <w:tcPr>
            <w:tcW w:type="dxa" w:w="1728"/>
          </w:tcPr>
          <w:p>
            <w:r>
              <w:t>4.06%</w:t>
            </w:r>
          </w:p>
        </w:tc>
        <w:tc>
          <w:tcPr>
            <w:tcW w:type="dxa" w:w="1728"/>
          </w:tcPr>
          <w:p>
            <w:r>
              <w:t>100.00%</w:t>
            </w:r>
          </w:p>
        </w:tc>
        <w:tc>
          <w:tcPr>
            <w:tcW w:type="dxa" w:w="1728"/>
          </w:tcPr>
          <w:p>
            <w:r>
              <w:t>4.06%</w:t>
            </w:r>
          </w:p>
        </w:tc>
        <w:tc>
          <w:tcPr>
            <w:tcW w:type="dxa" w:w="1728"/>
          </w:tcPr>
          <w:p>
            <w:r>
              <w:t>121</w:t>
            </w:r>
          </w:p>
        </w:tc>
      </w:tr>
      <w:tr>
        <w:tc>
          <w:tcPr>
            <w:tcW w:type="dxa" w:w="1728"/>
          </w:tcPr>
          <w:p>
            <w:r>
              <w:t>7.0</w:t>
            </w:r>
          </w:p>
        </w:tc>
        <w:tc>
          <w:tcPr>
            <w:tcW w:type="dxa" w:w="1728"/>
          </w:tcPr>
          <w:p>
            <w:r>
              <w:t>55.67%</w:t>
            </w:r>
          </w:p>
        </w:tc>
        <w:tc>
          <w:tcPr>
            <w:tcW w:type="dxa" w:w="1728"/>
          </w:tcPr>
          <w:p>
            <w:r>
              <w:t>100.00%</w:t>
            </w:r>
          </w:p>
        </w:tc>
        <w:tc>
          <w:tcPr>
            <w:tcW w:type="dxa" w:w="1728"/>
          </w:tcPr>
          <w:p>
            <w:r>
              <w:t>55.67%</w:t>
            </w:r>
          </w:p>
        </w:tc>
        <w:tc>
          <w:tcPr>
            <w:tcW w:type="dxa" w:w="1728"/>
          </w:tcPr>
          <w:p>
            <w:r>
              <w:t>1660</w:t>
            </w:r>
          </w:p>
        </w:tc>
      </w:tr>
      <w:tr>
        <w:tc>
          <w:tcPr>
            <w:tcW w:type="dxa" w:w="1728"/>
          </w:tcPr>
          <w:p>
            <w:r>
              <w:t>8.0</w:t>
            </w:r>
          </w:p>
        </w:tc>
        <w:tc>
          <w:tcPr>
            <w:tcW w:type="dxa" w:w="1728"/>
          </w:tcPr>
          <w:p>
            <w:r>
              <w:t>2.78%</w:t>
            </w:r>
          </w:p>
        </w:tc>
        <w:tc>
          <w:tcPr>
            <w:tcW w:type="dxa" w:w="1728"/>
          </w:tcPr>
          <w:p>
            <w:r>
              <w:t>100.00%</w:t>
            </w:r>
          </w:p>
        </w:tc>
        <w:tc>
          <w:tcPr>
            <w:tcW w:type="dxa" w:w="1728"/>
          </w:tcPr>
          <w:p>
            <w:r>
              <w:t>2.78%</w:t>
            </w:r>
          </w:p>
        </w:tc>
        <w:tc>
          <w:tcPr>
            <w:tcW w:type="dxa" w:w="1728"/>
          </w:tcPr>
          <w:p>
            <w:r>
              <w:t>83</w:t>
            </w:r>
          </w:p>
        </w:tc>
      </w:tr>
      <w:tr>
        <w:tc>
          <w:tcPr>
            <w:tcW w:type="dxa" w:w="1728"/>
          </w:tcPr>
          <w:p>
            <w:r>
              <w:t>Total</w:t>
            </w:r>
          </w:p>
        </w:tc>
        <w:tc>
          <w:tcPr>
            <w:tcW w:type="dxa" w:w="1728"/>
          </w:tcPr>
          <w:p>
            <w:r>
              <w:t>100%</w:t>
            </w:r>
          </w:p>
        </w:tc>
        <w:tc>
          <w:tcPr>
            <w:tcW w:type="dxa" w:w="1728"/>
          </w:tcPr>
          <w:p>
            <w:r>
              <w:t>100.00%</w:t>
            </w:r>
          </w:p>
        </w:tc>
        <w:tc>
          <w:tcPr>
            <w:tcW w:type="dxa" w:w="1728"/>
          </w:tcPr>
          <w:p>
            <w:r>
              <w:t>100%</w:t>
            </w:r>
          </w:p>
        </w:tc>
        <w:tc>
          <w:tcPr>
            <w:tcW w:type="dxa" w:w="1728"/>
          </w:tcPr>
          <w:p>
            <w:r>
              <w:t>2982</w:t>
            </w:r>
          </w:p>
        </w:tc>
      </w:tr>
    </w:tbl>
    <w:p/>
    <w:p>
      <w:pPr>
        <w:pStyle w:val="Heading2"/>
      </w:pPr>
      <w:r>
        <w:t>Análisis descriptivo (emocion_ia)</w:t>
      </w:r>
    </w:p>
    <w:p>
      <w:r>
        <w:t>Los resultados de la distribución de la variable 'Emoción ia' revelan un patrón de distribución marcadamente sesgado. El hallazgo más destacado es la predominancia absoluta de la categoría 7.0, la cual concentra el 55.67% de la frecuencia total de las respuestas, superando con creces cualquier otra emoción registrada. Esta concentración sugiere una homogeneidad emocional notable o una alta influencia de factores situacionales específicos en el grupo muestral.</w:t>
        <w:br/>
        <w:br/>
        <w:t>En contraste con esta alta concentración, el resto de las categorías exhiben niveles de prevalencia considerablemente bajos. Específicamente, las emociones 1.0, 5.0 y 8.0 representan las proporciones más bajas, situándose por debajo del 3% cada una. Aunque las categorías 4.0 y 3.0 muestran una presencia más significativa (alrededor del 10% al 13%), la brecha de magnitud con el pico principal en 7.0 es tan pronunciada que merece ser un punto focal de análisis. Sociológicamente, esta alta disparidad (skewness) podría indicar que la medición capta predominantemente un estado emocional específico, requiriendo una profundización metodológica para comprender si esta distribución refleja la realidad emocional general de la población o si está mediada por sesgos de respuesta o el contexto de la encuesta.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